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20" w:rsidRDefault="00486CFD" w:rsidP="00796AA4">
      <w:pPr>
        <w:pStyle w:val="Heading1"/>
      </w:pPr>
      <w:r>
        <w:t>Hypertension in Marion County, Indiana</w:t>
      </w:r>
      <w:r w:rsidR="00386220">
        <w:t>:</w:t>
      </w:r>
      <w:r w:rsidR="007B511D">
        <w:t xml:space="preserve"> 2015</w:t>
      </w:r>
      <w:bookmarkStart w:id="0" w:name="_GoBack"/>
      <w:bookmarkEnd w:id="0"/>
    </w:p>
    <w:p w:rsidR="00796AA4" w:rsidRDefault="00796AA4" w:rsidP="00386220">
      <w:pPr>
        <w:rPr>
          <w:b/>
        </w:rPr>
      </w:pPr>
    </w:p>
    <w:p w:rsidR="0070532E" w:rsidRDefault="0070532E" w:rsidP="00386220">
      <w:pPr>
        <w:rPr>
          <w:b/>
        </w:rPr>
      </w:pPr>
      <w:r>
        <w:rPr>
          <w:b/>
        </w:rPr>
        <w:t>How is High Blood Pressure (Hypertension, HBP) Diagnosed?</w:t>
      </w:r>
    </w:p>
    <w:p w:rsidR="00386220" w:rsidRDefault="00BB59D1" w:rsidP="00BD4011">
      <w:r w:rsidRPr="00BD4011">
        <w:rPr>
          <w:b/>
        </w:rPr>
        <w:t>Blood pressure</w:t>
      </w:r>
      <w:r w:rsidR="00386220" w:rsidRPr="00BD4011">
        <w:rPr>
          <w:b/>
        </w:rPr>
        <w:t xml:space="preserve"> </w:t>
      </w:r>
      <w:r w:rsidR="0070532E" w:rsidRPr="00BD4011">
        <w:rPr>
          <w:b/>
        </w:rPr>
        <w:t xml:space="preserve">screening </w:t>
      </w:r>
      <w:r w:rsidR="00386220" w:rsidRPr="00BD4011">
        <w:rPr>
          <w:b/>
        </w:rPr>
        <w:t>for adults ages 18 and older</w:t>
      </w:r>
      <w:r w:rsidR="00386220">
        <w:t xml:space="preserve">: </w:t>
      </w:r>
      <w:r w:rsidR="0070532E">
        <w:t xml:space="preserve">Blood pressure </w:t>
      </w:r>
      <w:r>
        <w:t xml:space="preserve">(BP) </w:t>
      </w:r>
      <w:r w:rsidR="0070532E">
        <w:t>readings s</w:t>
      </w:r>
      <w:r w:rsidR="00854780">
        <w:t xml:space="preserve">hould be </w:t>
      </w:r>
      <w:r w:rsidR="00386220">
        <w:t>based on the average of two or more properly measured, seated BP readings on each of two or more office visits</w:t>
      </w:r>
      <w:r w:rsidR="001F7236">
        <w:rPr>
          <w:rStyle w:val="EndnoteReference"/>
        </w:rPr>
        <w:endnoteReference w:id="1"/>
      </w:r>
      <w:r>
        <w:t>.</w:t>
      </w:r>
    </w:p>
    <w:p w:rsidR="00BD4011" w:rsidRDefault="00386220" w:rsidP="00BD4011">
      <w:pPr>
        <w:pStyle w:val="ListParagraph"/>
        <w:numPr>
          <w:ilvl w:val="0"/>
          <w:numId w:val="2"/>
        </w:numPr>
      </w:pPr>
      <w:r w:rsidRPr="00486CFD">
        <w:rPr>
          <w:b/>
        </w:rPr>
        <w:t>Pre</w:t>
      </w:r>
      <w:r w:rsidR="001F7236" w:rsidRPr="00486CFD">
        <w:rPr>
          <w:b/>
        </w:rPr>
        <w:t>-</w:t>
      </w:r>
      <w:r w:rsidRPr="00486CFD">
        <w:rPr>
          <w:b/>
        </w:rPr>
        <w:t>hypertension</w:t>
      </w:r>
      <w:r w:rsidR="001F7236">
        <w:t>:  T</w:t>
      </w:r>
      <w:r>
        <w:t xml:space="preserve">hose </w:t>
      </w:r>
      <w:r w:rsidR="001F7236">
        <w:t xml:space="preserve">with BP readings </w:t>
      </w:r>
      <w:r w:rsidR="00BB59D1">
        <w:t>of</w:t>
      </w:r>
      <w:r w:rsidR="006C4DC6">
        <w:t xml:space="preserve"> 130–139</w:t>
      </w:r>
      <w:r w:rsidR="00D21CA4">
        <w:t xml:space="preserve"> SBP</w:t>
      </w:r>
      <w:r w:rsidR="00BB59D1">
        <w:t xml:space="preserve"> range</w:t>
      </w:r>
      <w:r w:rsidR="00D21CA4">
        <w:t xml:space="preserve"> or DBP of </w:t>
      </w:r>
      <w:r w:rsidR="006C4DC6">
        <w:t xml:space="preserve">80–89 </w:t>
      </w:r>
      <w:r w:rsidR="006C4DC6" w:rsidRPr="006C4DC6">
        <w:t xml:space="preserve">millimeters of mercury </w:t>
      </w:r>
      <w:r w:rsidR="006C4DC6">
        <w:t>(m</w:t>
      </w:r>
      <w:r>
        <w:t>mHg</w:t>
      </w:r>
      <w:r w:rsidR="006C4DC6">
        <w:t>)</w:t>
      </w:r>
      <w:r w:rsidR="00BB59D1">
        <w:t>. These individuals</w:t>
      </w:r>
      <w:r>
        <w:t xml:space="preserve"> are at twice </w:t>
      </w:r>
      <w:r w:rsidR="00BB59D1">
        <w:t>as likely t</w:t>
      </w:r>
      <w:r>
        <w:t>o develop</w:t>
      </w:r>
      <w:r w:rsidR="001F7236">
        <w:t xml:space="preserve"> </w:t>
      </w:r>
      <w:r>
        <w:t>hypertension as those with lower values</w:t>
      </w:r>
      <w:r>
        <w:rPr>
          <w:rStyle w:val="EndnoteReference"/>
        </w:rPr>
        <w:endnoteReference w:id="2"/>
      </w:r>
      <w:r w:rsidR="00BB59D1">
        <w:t>.</w:t>
      </w:r>
      <w:r w:rsidR="001F7236">
        <w:t xml:space="preserve">  </w:t>
      </w:r>
    </w:p>
    <w:p w:rsidR="00486CFD" w:rsidRDefault="00486CFD" w:rsidP="00486CFD">
      <w:pPr>
        <w:pStyle w:val="ListParagraph"/>
      </w:pPr>
    </w:p>
    <w:p w:rsidR="006C4DC6" w:rsidRDefault="0070532E" w:rsidP="0070532E">
      <w:pPr>
        <w:pStyle w:val="ListParagraph"/>
        <w:numPr>
          <w:ilvl w:val="0"/>
          <w:numId w:val="2"/>
        </w:numPr>
      </w:pPr>
      <w:r>
        <w:rPr>
          <w:b/>
        </w:rPr>
        <w:t>Hypertension</w:t>
      </w:r>
      <w:r w:rsidR="00BB59D1">
        <w:rPr>
          <w:b/>
        </w:rPr>
        <w:t xml:space="preserve"> (HBP)</w:t>
      </w:r>
      <w:r w:rsidRPr="0070532E">
        <w:t>:</w:t>
      </w:r>
      <w:r>
        <w:t xml:space="preserve"> </w:t>
      </w:r>
      <w:r w:rsidR="006C4DC6">
        <w:t>Is defined as</w:t>
      </w:r>
      <w:r w:rsidR="006C4DC6">
        <w:rPr>
          <w:rStyle w:val="EndnoteReference"/>
        </w:rPr>
        <w:endnoteReference w:id="3"/>
      </w:r>
      <w:r w:rsidR="006C4DC6">
        <w:t xml:space="preserve">: </w:t>
      </w:r>
    </w:p>
    <w:p w:rsidR="0070532E" w:rsidRDefault="0070532E" w:rsidP="006C4DC6">
      <w:pPr>
        <w:pStyle w:val="ListParagraph"/>
        <w:numPr>
          <w:ilvl w:val="1"/>
          <w:numId w:val="2"/>
        </w:numPr>
      </w:pPr>
      <w:r>
        <w:t>A systolic  (SBP) reading of 140</w:t>
      </w:r>
      <w:r w:rsidR="006C4DC6">
        <w:t xml:space="preserve"> mmHg </w:t>
      </w:r>
      <w:r>
        <w:t>or more</w:t>
      </w:r>
      <w:r w:rsidR="006C4DC6">
        <w:t>, or a diastolic (DBP) reading of 90 mmHg or more</w:t>
      </w:r>
      <w:r w:rsidR="00BB59D1">
        <w:t>, or</w:t>
      </w:r>
    </w:p>
    <w:p w:rsidR="006C4DC6" w:rsidRDefault="006C4DC6" w:rsidP="006C4DC6">
      <w:pPr>
        <w:pStyle w:val="ListParagraph"/>
        <w:numPr>
          <w:ilvl w:val="1"/>
          <w:numId w:val="2"/>
        </w:numPr>
      </w:pPr>
      <w:r>
        <w:t>Current treatment with anti-hypertension medication</w:t>
      </w:r>
      <w:r w:rsidR="00BB59D1">
        <w:t>, or</w:t>
      </w:r>
    </w:p>
    <w:p w:rsidR="006C4DC6" w:rsidRDefault="006C4DC6" w:rsidP="006C4DC6">
      <w:pPr>
        <w:pStyle w:val="ListParagraph"/>
        <w:numPr>
          <w:ilvl w:val="1"/>
          <w:numId w:val="2"/>
        </w:numPr>
      </w:pPr>
      <w:r>
        <w:t>Having been told at least twice by a heal</w:t>
      </w:r>
      <w:r w:rsidR="00243045">
        <w:t>th professional that one has HBP</w:t>
      </w:r>
    </w:p>
    <w:p w:rsidR="00243045" w:rsidRDefault="00243045" w:rsidP="00243045">
      <w:pPr>
        <w:pStyle w:val="ListParagraph"/>
        <w:ind w:left="1440"/>
      </w:pPr>
    </w:p>
    <w:p w:rsidR="00243045" w:rsidRDefault="00243045" w:rsidP="00243045">
      <w:pPr>
        <w:pStyle w:val="ListParagraph"/>
        <w:numPr>
          <w:ilvl w:val="0"/>
          <w:numId w:val="2"/>
        </w:numPr>
      </w:pPr>
      <w:r w:rsidRPr="00243045">
        <w:rPr>
          <w:b/>
        </w:rPr>
        <w:t>In children and adolescents:</w:t>
      </w:r>
      <w:r>
        <w:t xml:space="preserve">  HBP is defined as three sequential clinical readings of a SBP or DBP levels which fall in the 95</w:t>
      </w:r>
      <w:r w:rsidRPr="00243045">
        <w:rPr>
          <w:vertAlign w:val="superscript"/>
        </w:rPr>
        <w:t>th</w:t>
      </w:r>
      <w:r w:rsidR="00E302AA">
        <w:t xml:space="preserve"> percentile of</w:t>
      </w:r>
      <w:r>
        <w:t xml:space="preserve"> blood pressure readings for the child’s age, gender and height. A single reading of elevated BP in children is not sufficient for a clinical diagnosis of HBP</w:t>
      </w:r>
      <w:r>
        <w:rPr>
          <w:rStyle w:val="EndnoteReference"/>
        </w:rPr>
        <w:endnoteReference w:id="4"/>
      </w:r>
      <w:r w:rsidR="00E56512">
        <w:t>.</w:t>
      </w:r>
    </w:p>
    <w:p w:rsidR="002554C0" w:rsidRPr="00896505" w:rsidRDefault="00486CFD" w:rsidP="002554C0">
      <w:pPr>
        <w:rPr>
          <w:b/>
        </w:rPr>
      </w:pPr>
      <w:r>
        <w:rPr>
          <w:b/>
        </w:rPr>
        <w:t>Prevalence</w:t>
      </w:r>
      <w:r w:rsidR="002554C0" w:rsidRPr="00896505">
        <w:rPr>
          <w:b/>
        </w:rPr>
        <w:t>:</w:t>
      </w:r>
    </w:p>
    <w:p w:rsidR="002554C0" w:rsidRDefault="002554C0" w:rsidP="00896505">
      <w:r w:rsidRPr="002554C0">
        <w:t>Hypertension affects app</w:t>
      </w:r>
      <w:r w:rsidR="00BB59D1">
        <w:t>roximately 50 million American</w:t>
      </w:r>
      <w:r w:rsidRPr="002554C0">
        <w:t>s</w:t>
      </w:r>
      <w:r w:rsidR="00BB59D1">
        <w:t>, and</w:t>
      </w:r>
      <w:r w:rsidR="00896505">
        <w:t xml:space="preserve"> is the most com</w:t>
      </w:r>
      <w:r w:rsidR="00BB59D1">
        <w:t>mon primary diagnosis in the U.S.</w:t>
      </w:r>
      <w:r w:rsidR="00896505">
        <w:t xml:space="preserve"> (35 million office visits </w:t>
      </w:r>
      <w:r w:rsidR="00A11450">
        <w:t xml:space="preserve">per year </w:t>
      </w:r>
      <w:r w:rsidR="00896505">
        <w:t>as the primary diagnosis)</w:t>
      </w:r>
      <w:r w:rsidR="00896505">
        <w:rPr>
          <w:rStyle w:val="EndnoteReference"/>
        </w:rPr>
        <w:endnoteReference w:id="5"/>
      </w:r>
      <w:r w:rsidR="00BB59D1">
        <w:t>.</w:t>
      </w:r>
    </w:p>
    <w:p w:rsidR="00D21CA4" w:rsidRDefault="006C4DC6" w:rsidP="00D21CA4">
      <w:pPr>
        <w:pStyle w:val="ListParagraph"/>
        <w:numPr>
          <w:ilvl w:val="0"/>
          <w:numId w:val="3"/>
        </w:numPr>
      </w:pPr>
      <w:r>
        <w:t>Nearly one in 3 Americans has been told they have hypertension (BRFSS 2007-2008</w:t>
      </w:r>
      <w:r w:rsidR="00D21CA4">
        <w:t>).</w:t>
      </w:r>
      <w:r w:rsidR="00D21CA4">
        <w:rPr>
          <w:rStyle w:val="EndnoteReference"/>
        </w:rPr>
        <w:endnoteReference w:id="6"/>
      </w:r>
    </w:p>
    <w:p w:rsidR="00D21CA4" w:rsidRDefault="00D21CA4" w:rsidP="00D21CA4">
      <w:pPr>
        <w:pStyle w:val="ListParagraph"/>
        <w:numPr>
          <w:ilvl w:val="0"/>
          <w:numId w:val="3"/>
        </w:numPr>
      </w:pPr>
      <w:r>
        <w:t>About 6% of Americans have undiagnosed hypertension (NHANES 2007-2010)</w:t>
      </w:r>
      <w:r>
        <w:rPr>
          <w:rStyle w:val="EndnoteReference"/>
        </w:rPr>
        <w:endnoteReference w:id="7"/>
      </w:r>
      <w:r w:rsidR="003D6CD2">
        <w:t>.</w:t>
      </w:r>
    </w:p>
    <w:p w:rsidR="00C07A7C" w:rsidRPr="00FD4A40" w:rsidRDefault="00FD4A40" w:rsidP="00D21CA4">
      <w:pPr>
        <w:pStyle w:val="ListParagraph"/>
        <w:numPr>
          <w:ilvl w:val="0"/>
          <w:numId w:val="3"/>
        </w:numPr>
      </w:pPr>
      <w:r w:rsidRPr="00FD4A40">
        <w:t>Some 3-4</w:t>
      </w:r>
      <w:r w:rsidR="00A038BF" w:rsidRPr="00FD4A40">
        <w:t>% of</w:t>
      </w:r>
      <w:r w:rsidRPr="00FD4A40">
        <w:t xml:space="preserve"> U.S.</w:t>
      </w:r>
      <w:r w:rsidR="00A038BF" w:rsidRPr="00FD4A40">
        <w:t xml:space="preserve"> children ages </w:t>
      </w:r>
      <w:r w:rsidRPr="00FD4A40">
        <w:t>8</w:t>
      </w:r>
      <w:r w:rsidR="00A038BF" w:rsidRPr="00FD4A40">
        <w:t xml:space="preserve"> to 17 have BP readings in the upper 95</w:t>
      </w:r>
      <w:r w:rsidR="00A038BF" w:rsidRPr="00FD4A40">
        <w:rPr>
          <w:vertAlign w:val="superscript"/>
        </w:rPr>
        <w:t>th</w:t>
      </w:r>
      <w:r w:rsidR="00A038BF" w:rsidRPr="00FD4A40">
        <w:t xml:space="preserve"> percentile for age and gender</w:t>
      </w:r>
      <w:r w:rsidRPr="00FD4A40">
        <w:t xml:space="preserve"> (2003-2006)</w:t>
      </w:r>
      <w:r w:rsidRPr="00FD4A40">
        <w:rPr>
          <w:rStyle w:val="EndnoteReference"/>
        </w:rPr>
        <w:endnoteReference w:id="8"/>
      </w:r>
      <w:r w:rsidR="00A038BF" w:rsidRPr="00FD4A40">
        <w:t>.</w:t>
      </w:r>
      <w:r w:rsidR="00E56512">
        <w:t xml:space="preserve">  In </w:t>
      </w:r>
      <w:r w:rsidR="0007323A">
        <w:t xml:space="preserve">NHANES national samples of </w:t>
      </w:r>
      <w:r w:rsidR="00E56512">
        <w:t>adolescents</w:t>
      </w:r>
      <w:r w:rsidR="0007323A">
        <w:t xml:space="preserve"> aged</w:t>
      </w:r>
      <w:r w:rsidR="00E56512">
        <w:t xml:space="preserve"> 12-17</w:t>
      </w:r>
      <w:r w:rsidR="0007323A">
        <w:t>,</w:t>
      </w:r>
      <w:r w:rsidR="00E56512">
        <w:t xml:space="preserve"> prevalence of hypertension </w:t>
      </w:r>
      <w:r w:rsidR="0007323A">
        <w:t>did not change significantly between 1999 and 2008 ranging between 3-5%, but did increase with age and increasing levels of obesity</w:t>
      </w:r>
      <w:r w:rsidR="0007323A">
        <w:rPr>
          <w:rStyle w:val="EndnoteReference"/>
        </w:rPr>
        <w:endnoteReference w:id="9"/>
      </w:r>
      <w:r w:rsidR="003D6CD2">
        <w:t>.</w:t>
      </w:r>
    </w:p>
    <w:p w:rsidR="002F6CDD" w:rsidRDefault="002F6CDD" w:rsidP="000864D9"/>
    <w:p w:rsidR="002F6CDD" w:rsidRDefault="002F6CDD" w:rsidP="000864D9"/>
    <w:p w:rsidR="002F6CDD" w:rsidRDefault="002F6CDD" w:rsidP="000864D9"/>
    <w:p w:rsidR="002F6CDD" w:rsidRDefault="002F6CDD" w:rsidP="000864D9"/>
    <w:p w:rsidR="00830C32" w:rsidRDefault="00830C32" w:rsidP="000864D9"/>
    <w:p w:rsidR="00832B57" w:rsidRDefault="009D1918" w:rsidP="000864D9">
      <w:r>
        <w:lastRenderedPageBreak/>
        <w:t xml:space="preserve">In 2013, </w:t>
      </w:r>
      <w:r w:rsidR="00244A81">
        <w:t>an estimated 32% of Marion County adults reported that they had been diagnosed with</w:t>
      </w:r>
      <w:r>
        <w:t xml:space="preserve"> hypertension</w:t>
      </w:r>
      <w:r w:rsidR="00244A81">
        <w:t xml:space="preserve"> which</w:t>
      </w:r>
      <w:r w:rsidR="00232FD9">
        <w:t xml:space="preserve"> </w:t>
      </w:r>
      <w:r>
        <w:t xml:space="preserve">was </w:t>
      </w:r>
      <w:r w:rsidR="00D16FF7">
        <w:t xml:space="preserve">similar to </w:t>
      </w:r>
      <w:r w:rsidR="00BA42FD">
        <w:t>the national rate of 31.4%</w:t>
      </w:r>
      <w:r w:rsidR="002F65CF">
        <w:rPr>
          <w:rStyle w:val="EndnoteReference"/>
        </w:rPr>
        <w:endnoteReference w:id="10"/>
      </w:r>
      <w:r w:rsidR="003D3197">
        <w:t xml:space="preserve">.  </w:t>
      </w:r>
      <w:proofErr w:type="gramStart"/>
      <w:r w:rsidR="007D1802">
        <w:t xml:space="preserve">A </w:t>
      </w:r>
      <w:r w:rsidR="000864D9">
        <w:t>32</w:t>
      </w:r>
      <w:proofErr w:type="gramEnd"/>
      <w:r w:rsidR="000864D9">
        <w:t xml:space="preserve">% hypertension prevalence translates to </w:t>
      </w:r>
      <w:r w:rsidR="00A1591A">
        <w:t>almost 219,000</w:t>
      </w:r>
      <w:r w:rsidR="00EE0985">
        <w:t xml:space="preserve"> </w:t>
      </w:r>
      <w:r w:rsidR="004E4154">
        <w:t>Marion County adults that</w:t>
      </w:r>
      <w:r w:rsidR="00244A81">
        <w:t xml:space="preserve"> have </w:t>
      </w:r>
      <w:r w:rsidR="004E4154">
        <w:t>been diagnosed with</w:t>
      </w:r>
      <w:r w:rsidR="00244A81">
        <w:t xml:space="preserve"> hypertension</w:t>
      </w:r>
      <w:r w:rsidR="00974B6A">
        <w:rPr>
          <w:rStyle w:val="EndnoteReference"/>
        </w:rPr>
        <w:endnoteReference w:id="11"/>
      </w:r>
      <w:r w:rsidR="000864D9">
        <w:t xml:space="preserve">. </w:t>
      </w:r>
      <w:r w:rsidR="002F6CDD">
        <w:t xml:space="preserve"> </w:t>
      </w:r>
      <w:r w:rsidR="00CC78E6" w:rsidRPr="00CC78E6">
        <w:t xml:space="preserve">The prevalence of hypertension in Marion County among </w:t>
      </w:r>
      <w:r w:rsidR="003D6CD2">
        <w:t>Behavioral Risk Factor Surveillance System (</w:t>
      </w:r>
      <w:r w:rsidR="00CC78E6" w:rsidRPr="00CC78E6">
        <w:t>BRFSS</w:t>
      </w:r>
      <w:r w:rsidR="003D6CD2">
        <w:t xml:space="preserve">) </w:t>
      </w:r>
      <w:r w:rsidR="00CC78E6" w:rsidRPr="00CC78E6">
        <w:t xml:space="preserve">sample years between 2003 and 2013 did not vary significantly (see </w:t>
      </w:r>
      <w:r w:rsidR="00CC78E6">
        <w:t xml:space="preserve">confidence intervals in </w:t>
      </w:r>
      <w:r w:rsidR="00CC78E6">
        <w:fldChar w:fldCharType="begin"/>
      </w:r>
      <w:r w:rsidR="00CC78E6">
        <w:instrText xml:space="preserve"> REF _Ref431281885 \h </w:instrText>
      </w:r>
      <w:r w:rsidR="00CC78E6">
        <w:fldChar w:fldCharType="separate"/>
      </w:r>
      <w:r w:rsidR="006B3D60">
        <w:t xml:space="preserve">Figure </w:t>
      </w:r>
      <w:r w:rsidR="006B3D60">
        <w:rPr>
          <w:noProof/>
        </w:rPr>
        <w:t>1</w:t>
      </w:r>
      <w:r w:rsidR="00CC78E6">
        <w:fldChar w:fldCharType="end"/>
      </w:r>
      <w:r w:rsidR="00CC78E6" w:rsidRPr="00CC78E6">
        <w:t xml:space="preserve">). </w:t>
      </w:r>
      <w:r w:rsidR="002F6CDD" w:rsidRPr="002F6CDD">
        <w:t>Hypertension is not evenly distributed spatially th</w:t>
      </w:r>
      <w:r w:rsidR="000B49E4">
        <w:t>roughout Marion County (</w:t>
      </w:r>
      <w:r w:rsidR="00AF6A6D">
        <w:fldChar w:fldCharType="begin"/>
      </w:r>
      <w:r w:rsidR="00AF6A6D">
        <w:instrText xml:space="preserve"> REF _Ref431463448 \h </w:instrText>
      </w:r>
      <w:r w:rsidR="00AF6A6D">
        <w:fldChar w:fldCharType="separate"/>
      </w:r>
      <w:r w:rsidR="006B3D60">
        <w:t xml:space="preserve">Figure </w:t>
      </w:r>
      <w:r w:rsidR="006B3D60">
        <w:rPr>
          <w:noProof/>
        </w:rPr>
        <w:t>2</w:t>
      </w:r>
      <w:r w:rsidR="00AF6A6D">
        <w:fldChar w:fldCharType="end"/>
      </w:r>
      <w:r w:rsidR="002F6CDD" w:rsidRPr="002F6CDD">
        <w:t xml:space="preserve">).  The prevalence of hypertension ranged from 25% to 43.4% among Marion County Public Health Department planning areas in 2012.  </w:t>
      </w:r>
    </w:p>
    <w:p w:rsidR="002F6CDD" w:rsidRDefault="002F6CDD" w:rsidP="000864D9"/>
    <w:p w:rsidR="00AF3DA6" w:rsidRDefault="00AF3DA6" w:rsidP="00AF3DA6">
      <w:pPr>
        <w:pStyle w:val="Caption"/>
        <w:keepNext/>
      </w:pPr>
      <w:bookmarkStart w:id="1" w:name="_Ref431281885"/>
      <w:r>
        <w:t xml:space="preserve">Figure </w:t>
      </w:r>
      <w:fldSimple w:instr=" SEQ Figure \* ARABIC ">
        <w:r w:rsidR="006B3D60">
          <w:rPr>
            <w:noProof/>
          </w:rPr>
          <w:t>1</w:t>
        </w:r>
      </w:fldSimple>
      <w:bookmarkEnd w:id="1"/>
      <w:r>
        <w:t xml:space="preserve">: Prevalence of high blood pressure, adults age 18 and older, Marion County, </w:t>
      </w:r>
      <w:proofErr w:type="gramStart"/>
      <w:r>
        <w:t>BRFSS</w:t>
      </w:r>
      <w:proofErr w:type="gramEnd"/>
      <w:r>
        <w:t xml:space="preserve"> 2003-2013</w:t>
      </w:r>
    </w:p>
    <w:p w:rsidR="00AF3DA6" w:rsidRDefault="00AF3DA6" w:rsidP="00AF3DA6">
      <w:pPr>
        <w:keepNext/>
      </w:pPr>
      <w:r>
        <w:rPr>
          <w:noProof/>
        </w:rPr>
        <w:drawing>
          <wp:inline distT="0" distB="0" distL="0" distR="0" wp14:anchorId="1D15B577" wp14:editId="64DF5F35">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3DA6" w:rsidRPr="00AF3DA6" w:rsidRDefault="00AF3DA6" w:rsidP="00AF3DA6">
      <w:pPr>
        <w:pStyle w:val="Caption"/>
        <w:rPr>
          <w:b w:val="0"/>
          <w:color w:val="auto"/>
        </w:rPr>
      </w:pPr>
      <w:r w:rsidRPr="00AF3DA6">
        <w:rPr>
          <w:b w:val="0"/>
          <w:color w:val="auto"/>
        </w:rPr>
        <w:t>Source</w:t>
      </w:r>
      <w:r>
        <w:rPr>
          <w:b w:val="0"/>
          <w:color w:val="auto"/>
        </w:rPr>
        <w:t>: BRFSS Survey Data (DR2647).</w:t>
      </w:r>
      <w:r w:rsidRPr="00AF3DA6">
        <w:rPr>
          <w:b w:val="0"/>
          <w:color w:val="auto"/>
        </w:rPr>
        <w:t xml:space="preserve"> </w:t>
      </w:r>
      <w:r w:rsidR="000567B4">
        <w:rPr>
          <w:b w:val="0"/>
          <w:color w:val="auto"/>
        </w:rPr>
        <w:t xml:space="preserve">Note: </w:t>
      </w:r>
      <w:r w:rsidR="002F5A82">
        <w:rPr>
          <w:b w:val="0"/>
          <w:color w:val="auto"/>
        </w:rPr>
        <w:t xml:space="preserve">The BRFSS only collects information reflecting BRFSS prevalence every other year (in odd-numbered years). </w:t>
      </w:r>
      <w:r w:rsidR="00244A81" w:rsidRPr="00244A81">
        <w:rPr>
          <w:b w:val="0"/>
          <w:color w:val="auto"/>
        </w:rPr>
        <w:t xml:space="preserve">BRFSS survey methods changed from all land-line </w:t>
      </w:r>
      <w:proofErr w:type="gramStart"/>
      <w:r w:rsidR="00244A81" w:rsidRPr="00244A81">
        <w:rPr>
          <w:b w:val="0"/>
          <w:color w:val="auto"/>
        </w:rPr>
        <w:t>phone</w:t>
      </w:r>
      <w:proofErr w:type="gramEnd"/>
      <w:r w:rsidR="00244A81" w:rsidRPr="00244A81">
        <w:rPr>
          <w:b w:val="0"/>
          <w:color w:val="auto"/>
        </w:rPr>
        <w:t xml:space="preserve"> sampling in 2010 to added cell-phone sample (about 30% of total sample in Indiana) thereafter. CDC recommends that readers not directly compare trends across these periods.  </w:t>
      </w:r>
    </w:p>
    <w:p w:rsidR="00AA256D" w:rsidRDefault="00AA256D" w:rsidP="00832B57">
      <w:pPr>
        <w:keepNext/>
        <w:keepLines/>
        <w:spacing w:after="120"/>
        <w:rPr>
          <w:rFonts w:ascii="Calibri" w:eastAsia="Times New Roman" w:hAnsi="Calibri" w:cs="Arial"/>
          <w:color w:val="0072BC"/>
          <w:sz w:val="20"/>
          <w:szCs w:val="20"/>
        </w:rPr>
      </w:pPr>
    </w:p>
    <w:p w:rsidR="002F6CDD" w:rsidRDefault="002F6CDD" w:rsidP="002F6CDD">
      <w:pPr>
        <w:pStyle w:val="Caption"/>
        <w:keepNext/>
      </w:pPr>
      <w:bookmarkStart w:id="2" w:name="_Ref431463448"/>
      <w:r>
        <w:t xml:space="preserve">Figure </w:t>
      </w:r>
      <w:fldSimple w:instr=" SEQ Figure \* ARABIC ">
        <w:r w:rsidR="006B3D60">
          <w:rPr>
            <w:noProof/>
          </w:rPr>
          <w:t>2</w:t>
        </w:r>
      </w:fldSimple>
      <w:bookmarkEnd w:id="2"/>
      <w:r>
        <w:t>: Marion County Hypertension Prevalence Distribution</w:t>
      </w:r>
      <w:r w:rsidR="005A125A">
        <w:t xml:space="preserve"> by Health Planning Area, 2012</w:t>
      </w:r>
    </w:p>
    <w:p w:rsidR="00406305" w:rsidRDefault="00406305" w:rsidP="00406305">
      <w:pPr>
        <w:pStyle w:val="Caption"/>
        <w:keepNext/>
        <w:rPr>
          <w:b w:val="0"/>
          <w:color w:val="000000" w:themeColor="text1"/>
          <w:sz w:val="22"/>
          <w:szCs w:val="22"/>
        </w:rPr>
      </w:pPr>
      <w:r>
        <w:rPr>
          <w:b w:val="0"/>
          <w:noProof/>
        </w:rPr>
        <w:drawing>
          <wp:inline distT="0" distB="0" distL="0" distR="0" wp14:anchorId="20AA4DC6" wp14:editId="40766C09">
            <wp:extent cx="4968129" cy="64293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PctHypertensionByHP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129" cy="6429375"/>
                    </a:xfrm>
                    <a:prstGeom prst="rect">
                      <a:avLst/>
                    </a:prstGeom>
                  </pic:spPr>
                </pic:pic>
              </a:graphicData>
            </a:graphic>
          </wp:inline>
        </w:drawing>
      </w:r>
    </w:p>
    <w:p w:rsidR="00406305" w:rsidRDefault="00406305" w:rsidP="00406305">
      <w:pPr>
        <w:pStyle w:val="Caption"/>
        <w:keepNext/>
        <w:rPr>
          <w:b w:val="0"/>
          <w:color w:val="000000" w:themeColor="text1"/>
          <w:sz w:val="22"/>
          <w:szCs w:val="22"/>
        </w:rPr>
      </w:pPr>
    </w:p>
    <w:p w:rsidR="00406305" w:rsidRDefault="00406305" w:rsidP="00406305">
      <w:pPr>
        <w:pStyle w:val="Caption"/>
        <w:keepNext/>
        <w:rPr>
          <w:b w:val="0"/>
          <w:color w:val="000000" w:themeColor="text1"/>
          <w:sz w:val="22"/>
          <w:szCs w:val="22"/>
        </w:rPr>
      </w:pPr>
    </w:p>
    <w:p w:rsidR="00BF4051" w:rsidRDefault="00BF4051" w:rsidP="001156A1">
      <w:pPr>
        <w:pStyle w:val="Caption"/>
        <w:keepNext/>
        <w:rPr>
          <w:b w:val="0"/>
          <w:color w:val="000000" w:themeColor="text1"/>
          <w:sz w:val="22"/>
          <w:szCs w:val="22"/>
        </w:rPr>
      </w:pPr>
    </w:p>
    <w:p w:rsidR="001156A1" w:rsidRPr="001156A1" w:rsidRDefault="00406305" w:rsidP="001156A1">
      <w:pPr>
        <w:pStyle w:val="Caption"/>
        <w:keepNext/>
      </w:pPr>
      <w:r>
        <w:rPr>
          <w:b w:val="0"/>
          <w:color w:val="000000" w:themeColor="text1"/>
          <w:sz w:val="22"/>
          <w:szCs w:val="22"/>
        </w:rPr>
        <w:lastRenderedPageBreak/>
        <w:t>A 2012</w:t>
      </w:r>
      <w:r w:rsidR="009B799D">
        <w:rPr>
          <w:b w:val="0"/>
          <w:color w:val="000000" w:themeColor="text1"/>
          <w:sz w:val="22"/>
          <w:szCs w:val="22"/>
        </w:rPr>
        <w:t xml:space="preserve"> telephone survey of over</w:t>
      </w:r>
      <w:r w:rsidRPr="00406305">
        <w:rPr>
          <w:b w:val="0"/>
          <w:color w:val="000000" w:themeColor="text1"/>
          <w:sz w:val="22"/>
          <w:szCs w:val="22"/>
        </w:rPr>
        <w:t xml:space="preserve"> 5,000 Marion County adults provides the most recent detailed</w:t>
      </w:r>
      <w:r w:rsidR="00DB3593">
        <w:rPr>
          <w:b w:val="0"/>
          <w:color w:val="000000" w:themeColor="text1"/>
          <w:sz w:val="22"/>
          <w:szCs w:val="22"/>
        </w:rPr>
        <w:t xml:space="preserve"> </w:t>
      </w:r>
      <w:r w:rsidRPr="00406305">
        <w:rPr>
          <w:b w:val="0"/>
          <w:color w:val="000000" w:themeColor="text1"/>
          <w:sz w:val="22"/>
          <w:szCs w:val="22"/>
        </w:rPr>
        <w:t xml:space="preserve">information on </w:t>
      </w:r>
      <w:r w:rsidR="00E26A00">
        <w:rPr>
          <w:b w:val="0"/>
          <w:color w:val="000000" w:themeColor="text1"/>
          <w:sz w:val="22"/>
          <w:szCs w:val="22"/>
        </w:rPr>
        <w:t>age-group</w:t>
      </w:r>
      <w:r w:rsidRPr="00406305">
        <w:rPr>
          <w:b w:val="0"/>
          <w:color w:val="000000" w:themeColor="text1"/>
          <w:sz w:val="22"/>
          <w:szCs w:val="22"/>
        </w:rPr>
        <w:t xml:space="preserve">, </w:t>
      </w:r>
      <w:r w:rsidR="00A37976">
        <w:rPr>
          <w:b w:val="0"/>
          <w:color w:val="000000" w:themeColor="text1"/>
          <w:sz w:val="22"/>
          <w:szCs w:val="22"/>
        </w:rPr>
        <w:t>race/ethnicity</w:t>
      </w:r>
      <w:r w:rsidRPr="00406305">
        <w:rPr>
          <w:b w:val="0"/>
          <w:color w:val="000000" w:themeColor="text1"/>
          <w:sz w:val="22"/>
          <w:szCs w:val="22"/>
        </w:rPr>
        <w:t xml:space="preserve">, and </w:t>
      </w:r>
      <w:r w:rsidR="00E26A00">
        <w:rPr>
          <w:b w:val="0"/>
          <w:color w:val="000000" w:themeColor="text1"/>
          <w:sz w:val="22"/>
          <w:szCs w:val="22"/>
        </w:rPr>
        <w:t>gender</w:t>
      </w:r>
      <w:r>
        <w:rPr>
          <w:b w:val="0"/>
          <w:color w:val="000000" w:themeColor="text1"/>
          <w:sz w:val="22"/>
          <w:szCs w:val="22"/>
        </w:rPr>
        <w:t xml:space="preserve"> differences in hypertension</w:t>
      </w:r>
      <w:r w:rsidRPr="00406305">
        <w:rPr>
          <w:b w:val="0"/>
          <w:color w:val="000000" w:themeColor="text1"/>
          <w:sz w:val="22"/>
          <w:szCs w:val="22"/>
        </w:rPr>
        <w:t xml:space="preserve"> prevalence.</w:t>
      </w:r>
      <w:r w:rsidR="00E26A00" w:rsidRPr="00E26A00">
        <w:t xml:space="preserve"> </w:t>
      </w:r>
      <w:r w:rsidR="00581818">
        <w:rPr>
          <w:b w:val="0"/>
          <w:color w:val="000000" w:themeColor="text1"/>
          <w:sz w:val="22"/>
          <w:szCs w:val="22"/>
        </w:rPr>
        <w:t>The p</w:t>
      </w:r>
      <w:r w:rsidR="00581818" w:rsidRPr="00406305">
        <w:rPr>
          <w:b w:val="0"/>
          <w:color w:val="000000" w:themeColor="text1"/>
          <w:sz w:val="22"/>
          <w:szCs w:val="22"/>
        </w:rPr>
        <w:t>revalence of hyperte</w:t>
      </w:r>
      <w:r w:rsidR="00581818">
        <w:rPr>
          <w:b w:val="0"/>
          <w:color w:val="000000" w:themeColor="text1"/>
          <w:sz w:val="22"/>
          <w:szCs w:val="22"/>
        </w:rPr>
        <w:t xml:space="preserve">nsion in Marion County increases significantly with </w:t>
      </w:r>
      <w:r w:rsidR="00581818" w:rsidRPr="00406305">
        <w:rPr>
          <w:b w:val="0"/>
          <w:color w:val="000000" w:themeColor="text1"/>
          <w:sz w:val="22"/>
          <w:szCs w:val="22"/>
        </w:rPr>
        <w:t>age</w:t>
      </w:r>
      <w:r w:rsidR="00581818">
        <w:rPr>
          <w:b w:val="0"/>
          <w:color w:val="000000" w:themeColor="text1"/>
          <w:sz w:val="22"/>
          <w:szCs w:val="22"/>
        </w:rPr>
        <w:t xml:space="preserve"> (</w:t>
      </w:r>
      <w:r w:rsidR="00BA42FD" w:rsidRPr="00BA42FD">
        <w:rPr>
          <w:b w:val="0"/>
          <w:color w:val="000000" w:themeColor="text1"/>
          <w:sz w:val="22"/>
          <w:szCs w:val="22"/>
        </w:rPr>
        <w:fldChar w:fldCharType="begin"/>
      </w:r>
      <w:r w:rsidR="00BA42FD" w:rsidRPr="00BA42FD">
        <w:rPr>
          <w:b w:val="0"/>
          <w:color w:val="000000" w:themeColor="text1"/>
          <w:sz w:val="22"/>
          <w:szCs w:val="22"/>
        </w:rPr>
        <w:instrText xml:space="preserve"> REF _Ref431470152 \h  \* MERGEFORMAT </w:instrText>
      </w:r>
      <w:r w:rsidR="00BA42FD" w:rsidRPr="00BA42FD">
        <w:rPr>
          <w:b w:val="0"/>
          <w:color w:val="000000" w:themeColor="text1"/>
          <w:sz w:val="22"/>
          <w:szCs w:val="22"/>
        </w:rPr>
      </w:r>
      <w:r w:rsidR="00BA42FD" w:rsidRPr="00BA42FD">
        <w:rPr>
          <w:b w:val="0"/>
          <w:color w:val="000000" w:themeColor="text1"/>
          <w:sz w:val="22"/>
          <w:szCs w:val="22"/>
        </w:rPr>
        <w:fldChar w:fldCharType="separate"/>
      </w:r>
      <w:r w:rsidR="006B3D60" w:rsidRPr="007B511D">
        <w:rPr>
          <w:b w:val="0"/>
          <w:color w:val="000000" w:themeColor="text1"/>
          <w:sz w:val="22"/>
          <w:szCs w:val="22"/>
        </w:rPr>
        <w:t xml:space="preserve">Table </w:t>
      </w:r>
      <w:r w:rsidR="006B3D60" w:rsidRPr="007B511D">
        <w:rPr>
          <w:b w:val="0"/>
          <w:noProof/>
          <w:color w:val="000000" w:themeColor="text1"/>
          <w:sz w:val="22"/>
          <w:szCs w:val="22"/>
        </w:rPr>
        <w:t>1</w:t>
      </w:r>
      <w:r w:rsidR="00BA42FD" w:rsidRPr="00BA42FD">
        <w:rPr>
          <w:b w:val="0"/>
          <w:color w:val="000000" w:themeColor="text1"/>
          <w:sz w:val="22"/>
          <w:szCs w:val="22"/>
        </w:rPr>
        <w:fldChar w:fldCharType="end"/>
      </w:r>
      <w:r w:rsidR="00581818">
        <w:rPr>
          <w:b w:val="0"/>
          <w:color w:val="000000" w:themeColor="text1"/>
          <w:sz w:val="22"/>
          <w:szCs w:val="22"/>
        </w:rPr>
        <w:t>)</w:t>
      </w:r>
      <w:r w:rsidR="00581818" w:rsidRPr="00406305">
        <w:rPr>
          <w:b w:val="0"/>
          <w:color w:val="000000" w:themeColor="text1"/>
          <w:sz w:val="22"/>
          <w:szCs w:val="22"/>
        </w:rPr>
        <w:t>.</w:t>
      </w:r>
      <w:r w:rsidR="00581818">
        <w:rPr>
          <w:b w:val="0"/>
          <w:color w:val="000000" w:themeColor="text1"/>
          <w:sz w:val="22"/>
          <w:szCs w:val="22"/>
        </w:rPr>
        <w:t xml:space="preserve">  </w:t>
      </w:r>
      <w:r w:rsidR="00BA42FD">
        <w:rPr>
          <w:b w:val="0"/>
          <w:color w:val="000000" w:themeColor="text1"/>
          <w:sz w:val="22"/>
          <w:szCs w:val="22"/>
        </w:rPr>
        <w:t xml:space="preserve">Prevalence </w:t>
      </w:r>
      <w:r w:rsidR="00E657A4">
        <w:rPr>
          <w:b w:val="0"/>
          <w:color w:val="000000" w:themeColor="text1"/>
          <w:sz w:val="22"/>
          <w:szCs w:val="22"/>
        </w:rPr>
        <w:t>among Marion County residents</w:t>
      </w:r>
      <w:r w:rsidR="00581818">
        <w:rPr>
          <w:b w:val="0"/>
          <w:color w:val="000000" w:themeColor="text1"/>
          <w:sz w:val="22"/>
          <w:szCs w:val="22"/>
        </w:rPr>
        <w:t xml:space="preserve"> ages 65 and </w:t>
      </w:r>
      <w:r w:rsidR="001E0ED1">
        <w:rPr>
          <w:b w:val="0"/>
          <w:color w:val="000000" w:themeColor="text1"/>
          <w:sz w:val="22"/>
          <w:szCs w:val="22"/>
        </w:rPr>
        <w:t xml:space="preserve">over </w:t>
      </w:r>
      <w:r w:rsidR="00581818">
        <w:rPr>
          <w:b w:val="0"/>
          <w:color w:val="000000" w:themeColor="text1"/>
          <w:sz w:val="22"/>
          <w:szCs w:val="22"/>
        </w:rPr>
        <w:t xml:space="preserve">was 6.6 times higher than </w:t>
      </w:r>
      <w:r w:rsidR="00E657A4">
        <w:rPr>
          <w:b w:val="0"/>
          <w:color w:val="000000" w:themeColor="text1"/>
          <w:sz w:val="22"/>
          <w:szCs w:val="22"/>
        </w:rPr>
        <w:t>residents</w:t>
      </w:r>
      <w:r w:rsidR="00581818">
        <w:rPr>
          <w:b w:val="0"/>
          <w:color w:val="000000" w:themeColor="text1"/>
          <w:sz w:val="22"/>
          <w:szCs w:val="22"/>
        </w:rPr>
        <w:t xml:space="preserve"> ages 18-34 and 1.8 times higher than </w:t>
      </w:r>
      <w:r w:rsidR="00E657A4">
        <w:rPr>
          <w:b w:val="0"/>
          <w:color w:val="000000" w:themeColor="text1"/>
          <w:sz w:val="22"/>
          <w:szCs w:val="22"/>
        </w:rPr>
        <w:t>residents</w:t>
      </w:r>
      <w:r w:rsidR="00581818">
        <w:rPr>
          <w:b w:val="0"/>
          <w:color w:val="000000" w:themeColor="text1"/>
          <w:sz w:val="22"/>
          <w:szCs w:val="22"/>
        </w:rPr>
        <w:t xml:space="preserve"> ages 35-64 (</w:t>
      </w:r>
      <w:r w:rsidR="00AA0790" w:rsidRPr="00AA0790">
        <w:rPr>
          <w:b w:val="0"/>
          <w:color w:val="000000" w:themeColor="text1"/>
          <w:sz w:val="22"/>
          <w:szCs w:val="22"/>
        </w:rPr>
        <w:fldChar w:fldCharType="begin"/>
      </w:r>
      <w:r w:rsidR="00AA0790" w:rsidRPr="00AA0790">
        <w:rPr>
          <w:b w:val="0"/>
          <w:color w:val="000000" w:themeColor="text1"/>
          <w:sz w:val="22"/>
          <w:szCs w:val="22"/>
        </w:rPr>
        <w:instrText xml:space="preserve"> REF _Ref431470152 \h  \* MERGEFORMAT </w:instrText>
      </w:r>
      <w:r w:rsidR="00AA0790" w:rsidRPr="00AA0790">
        <w:rPr>
          <w:b w:val="0"/>
          <w:color w:val="000000" w:themeColor="text1"/>
          <w:sz w:val="22"/>
          <w:szCs w:val="22"/>
        </w:rPr>
      </w:r>
      <w:r w:rsidR="00AA0790" w:rsidRPr="00AA0790">
        <w:rPr>
          <w:b w:val="0"/>
          <w:color w:val="000000" w:themeColor="text1"/>
          <w:sz w:val="22"/>
          <w:szCs w:val="22"/>
        </w:rPr>
        <w:fldChar w:fldCharType="separate"/>
      </w:r>
      <w:r w:rsidR="006B3D60" w:rsidRPr="007B511D">
        <w:rPr>
          <w:b w:val="0"/>
          <w:color w:val="000000" w:themeColor="text1"/>
          <w:sz w:val="22"/>
          <w:szCs w:val="22"/>
        </w:rPr>
        <w:t xml:space="preserve">Table </w:t>
      </w:r>
      <w:r w:rsidR="006B3D60" w:rsidRPr="007B511D">
        <w:rPr>
          <w:b w:val="0"/>
          <w:noProof/>
          <w:color w:val="000000" w:themeColor="text1"/>
          <w:sz w:val="22"/>
          <w:szCs w:val="22"/>
        </w:rPr>
        <w:t>1</w:t>
      </w:r>
      <w:r w:rsidR="00AA0790" w:rsidRPr="00AA0790">
        <w:rPr>
          <w:b w:val="0"/>
          <w:color w:val="000000" w:themeColor="text1"/>
          <w:sz w:val="22"/>
          <w:szCs w:val="22"/>
        </w:rPr>
        <w:fldChar w:fldCharType="end"/>
      </w:r>
      <w:r w:rsidR="00581818">
        <w:rPr>
          <w:b w:val="0"/>
          <w:color w:val="000000" w:themeColor="text1"/>
          <w:sz w:val="22"/>
          <w:szCs w:val="22"/>
        </w:rPr>
        <w:t xml:space="preserve">). </w:t>
      </w:r>
      <w:r w:rsidR="00E26A00" w:rsidRPr="00E26A00">
        <w:rPr>
          <w:b w:val="0"/>
          <w:color w:val="000000" w:themeColor="text1"/>
          <w:sz w:val="22"/>
          <w:szCs w:val="22"/>
        </w:rPr>
        <w:t xml:space="preserve">The prevalence of high blood pressure </w:t>
      </w:r>
      <w:r w:rsidR="00A969A3">
        <w:rPr>
          <w:b w:val="0"/>
          <w:color w:val="000000" w:themeColor="text1"/>
          <w:sz w:val="22"/>
          <w:szCs w:val="22"/>
        </w:rPr>
        <w:t xml:space="preserve">was higher than </w:t>
      </w:r>
      <w:r w:rsidR="00E26A00" w:rsidRPr="00E26A00">
        <w:rPr>
          <w:b w:val="0"/>
          <w:color w:val="000000" w:themeColor="text1"/>
          <w:sz w:val="22"/>
          <w:szCs w:val="22"/>
        </w:rPr>
        <w:t>among</w:t>
      </w:r>
      <w:r w:rsidR="00A969A3">
        <w:rPr>
          <w:b w:val="0"/>
          <w:color w:val="000000" w:themeColor="text1"/>
          <w:sz w:val="22"/>
          <w:szCs w:val="22"/>
        </w:rPr>
        <w:t xml:space="preserve"> African Americans in</w:t>
      </w:r>
      <w:r w:rsidR="00E26A00" w:rsidRPr="00E26A00">
        <w:rPr>
          <w:b w:val="0"/>
          <w:color w:val="000000" w:themeColor="text1"/>
          <w:sz w:val="22"/>
          <w:szCs w:val="22"/>
        </w:rPr>
        <w:t xml:space="preserve"> Marion County than among Marion County Whites</w:t>
      </w:r>
      <w:r w:rsidR="00A969A3">
        <w:rPr>
          <w:b w:val="0"/>
          <w:color w:val="000000" w:themeColor="text1"/>
          <w:sz w:val="22"/>
          <w:szCs w:val="22"/>
        </w:rPr>
        <w:t xml:space="preserve"> and Hispanics</w:t>
      </w:r>
      <w:r w:rsidR="00E26A00" w:rsidRPr="00E26A00">
        <w:rPr>
          <w:b w:val="0"/>
          <w:color w:val="000000" w:themeColor="text1"/>
          <w:sz w:val="22"/>
          <w:szCs w:val="22"/>
        </w:rPr>
        <w:t xml:space="preserve"> (</w:t>
      </w:r>
      <w:r w:rsidR="00A969A3" w:rsidRPr="00A969A3">
        <w:rPr>
          <w:b w:val="0"/>
          <w:color w:val="000000" w:themeColor="text1"/>
          <w:sz w:val="22"/>
          <w:szCs w:val="22"/>
        </w:rPr>
        <w:fldChar w:fldCharType="begin"/>
      </w:r>
      <w:r w:rsidR="00A969A3" w:rsidRPr="00A969A3">
        <w:rPr>
          <w:b w:val="0"/>
          <w:color w:val="000000" w:themeColor="text1"/>
          <w:sz w:val="22"/>
          <w:szCs w:val="22"/>
        </w:rPr>
        <w:instrText xml:space="preserve"> REF _Ref431474981 \h  \* MERGEFORMAT </w:instrText>
      </w:r>
      <w:r w:rsidR="00A969A3" w:rsidRPr="00A969A3">
        <w:rPr>
          <w:b w:val="0"/>
          <w:color w:val="000000" w:themeColor="text1"/>
          <w:sz w:val="22"/>
          <w:szCs w:val="22"/>
        </w:rPr>
      </w:r>
      <w:r w:rsidR="00A969A3" w:rsidRPr="00A969A3">
        <w:rPr>
          <w:b w:val="0"/>
          <w:color w:val="000000" w:themeColor="text1"/>
          <w:sz w:val="22"/>
          <w:szCs w:val="22"/>
        </w:rPr>
        <w:fldChar w:fldCharType="separate"/>
      </w:r>
      <w:r w:rsidR="006B3D60" w:rsidRPr="007B511D">
        <w:rPr>
          <w:b w:val="0"/>
          <w:color w:val="000000" w:themeColor="text1"/>
          <w:sz w:val="22"/>
          <w:szCs w:val="22"/>
        </w:rPr>
        <w:t xml:space="preserve">Figure </w:t>
      </w:r>
      <w:r w:rsidR="006B3D60" w:rsidRPr="007B511D">
        <w:rPr>
          <w:b w:val="0"/>
          <w:noProof/>
          <w:color w:val="000000" w:themeColor="text1"/>
          <w:sz w:val="22"/>
          <w:szCs w:val="22"/>
        </w:rPr>
        <w:t>3</w:t>
      </w:r>
      <w:r w:rsidR="00A969A3" w:rsidRPr="00A969A3">
        <w:rPr>
          <w:b w:val="0"/>
          <w:color w:val="000000" w:themeColor="text1"/>
          <w:sz w:val="22"/>
          <w:szCs w:val="22"/>
        </w:rPr>
        <w:fldChar w:fldCharType="end"/>
      </w:r>
      <w:r w:rsidR="00A969A3">
        <w:rPr>
          <w:b w:val="0"/>
          <w:color w:val="000000" w:themeColor="text1"/>
          <w:sz w:val="22"/>
          <w:szCs w:val="22"/>
        </w:rPr>
        <w:t>)</w:t>
      </w:r>
      <w:r w:rsidR="00E26A00">
        <w:rPr>
          <w:b w:val="0"/>
          <w:color w:val="000000" w:themeColor="text1"/>
          <w:sz w:val="22"/>
          <w:szCs w:val="22"/>
        </w:rPr>
        <w:t>.</w:t>
      </w:r>
      <w:r>
        <w:rPr>
          <w:b w:val="0"/>
          <w:color w:val="000000" w:themeColor="text1"/>
          <w:sz w:val="22"/>
          <w:szCs w:val="22"/>
        </w:rPr>
        <w:t xml:space="preserve"> </w:t>
      </w:r>
      <w:r w:rsidRPr="00406305">
        <w:rPr>
          <w:b w:val="0"/>
          <w:color w:val="000000" w:themeColor="text1"/>
          <w:sz w:val="22"/>
          <w:szCs w:val="22"/>
        </w:rPr>
        <w:t>No stat</w:t>
      </w:r>
      <w:r w:rsidR="009B799D">
        <w:rPr>
          <w:b w:val="0"/>
          <w:color w:val="000000" w:themeColor="text1"/>
          <w:sz w:val="22"/>
          <w:szCs w:val="22"/>
        </w:rPr>
        <w:t xml:space="preserve">istically significant </w:t>
      </w:r>
      <w:r w:rsidRPr="00406305">
        <w:rPr>
          <w:b w:val="0"/>
          <w:color w:val="000000" w:themeColor="text1"/>
          <w:sz w:val="22"/>
          <w:szCs w:val="22"/>
        </w:rPr>
        <w:t xml:space="preserve">differences </w:t>
      </w:r>
      <w:r w:rsidR="009B799D">
        <w:rPr>
          <w:b w:val="0"/>
          <w:color w:val="000000" w:themeColor="text1"/>
          <w:sz w:val="22"/>
          <w:szCs w:val="22"/>
        </w:rPr>
        <w:t xml:space="preserve">of hypertension prevalence were </w:t>
      </w:r>
      <w:r w:rsidRPr="00406305">
        <w:rPr>
          <w:b w:val="0"/>
          <w:color w:val="000000" w:themeColor="text1"/>
          <w:sz w:val="22"/>
          <w:szCs w:val="22"/>
        </w:rPr>
        <w:t>seen in male-to-</w:t>
      </w:r>
      <w:r w:rsidR="009B799D">
        <w:rPr>
          <w:b w:val="0"/>
          <w:color w:val="000000" w:themeColor="text1"/>
          <w:sz w:val="22"/>
          <w:szCs w:val="22"/>
        </w:rPr>
        <w:t>female comparisons</w:t>
      </w:r>
      <w:r w:rsidR="00E26A00">
        <w:rPr>
          <w:b w:val="0"/>
          <w:color w:val="000000" w:themeColor="text1"/>
          <w:sz w:val="22"/>
          <w:szCs w:val="22"/>
        </w:rPr>
        <w:t xml:space="preserve"> (</w:t>
      </w:r>
      <w:r w:rsidR="00A969A3" w:rsidRPr="00A969A3">
        <w:rPr>
          <w:b w:val="0"/>
          <w:color w:val="000000" w:themeColor="text1"/>
          <w:sz w:val="22"/>
          <w:szCs w:val="22"/>
        </w:rPr>
        <w:fldChar w:fldCharType="begin"/>
      </w:r>
      <w:r w:rsidR="00A969A3" w:rsidRPr="00A969A3">
        <w:rPr>
          <w:b w:val="0"/>
          <w:color w:val="000000" w:themeColor="text1"/>
          <w:sz w:val="22"/>
          <w:szCs w:val="22"/>
        </w:rPr>
        <w:instrText xml:space="preserve"> REF _Ref431470152 \h  \* MERGEFORMAT </w:instrText>
      </w:r>
      <w:r w:rsidR="00A969A3" w:rsidRPr="00A969A3">
        <w:rPr>
          <w:b w:val="0"/>
          <w:color w:val="000000" w:themeColor="text1"/>
          <w:sz w:val="22"/>
          <w:szCs w:val="22"/>
        </w:rPr>
      </w:r>
      <w:r w:rsidR="00A969A3" w:rsidRPr="00A969A3">
        <w:rPr>
          <w:b w:val="0"/>
          <w:color w:val="000000" w:themeColor="text1"/>
          <w:sz w:val="22"/>
          <w:szCs w:val="22"/>
        </w:rPr>
        <w:fldChar w:fldCharType="separate"/>
      </w:r>
      <w:r w:rsidR="006B3D60" w:rsidRPr="007B511D">
        <w:rPr>
          <w:b w:val="0"/>
          <w:color w:val="000000" w:themeColor="text1"/>
          <w:sz w:val="22"/>
          <w:szCs w:val="22"/>
        </w:rPr>
        <w:t xml:space="preserve">Table </w:t>
      </w:r>
      <w:r w:rsidR="006B3D60" w:rsidRPr="007B511D">
        <w:rPr>
          <w:b w:val="0"/>
          <w:noProof/>
          <w:color w:val="000000" w:themeColor="text1"/>
          <w:sz w:val="22"/>
          <w:szCs w:val="22"/>
        </w:rPr>
        <w:t>1</w:t>
      </w:r>
      <w:r w:rsidR="00A969A3" w:rsidRPr="00A969A3">
        <w:rPr>
          <w:b w:val="0"/>
          <w:color w:val="000000" w:themeColor="text1"/>
          <w:sz w:val="22"/>
          <w:szCs w:val="22"/>
        </w:rPr>
        <w:fldChar w:fldCharType="end"/>
      </w:r>
      <w:r w:rsidR="00E26A00">
        <w:rPr>
          <w:b w:val="0"/>
          <w:color w:val="000000" w:themeColor="text1"/>
          <w:sz w:val="22"/>
          <w:szCs w:val="22"/>
        </w:rPr>
        <w:t>)</w:t>
      </w:r>
      <w:r w:rsidR="009B799D">
        <w:rPr>
          <w:b w:val="0"/>
          <w:color w:val="000000" w:themeColor="text1"/>
          <w:sz w:val="22"/>
          <w:szCs w:val="22"/>
        </w:rPr>
        <w:t>.</w:t>
      </w:r>
    </w:p>
    <w:p w:rsidR="009B3B53" w:rsidRDefault="009B3B53" w:rsidP="001156A1">
      <w:pPr>
        <w:pStyle w:val="Caption"/>
        <w:keepNext/>
      </w:pPr>
      <w:bookmarkStart w:id="3" w:name="_Ref431470152"/>
      <w:r>
        <w:t xml:space="preserve">Table </w:t>
      </w:r>
      <w:fldSimple w:instr=" SEQ Table \* ARABIC ">
        <w:r w:rsidR="006B3D60">
          <w:rPr>
            <w:noProof/>
          </w:rPr>
          <w:t>1</w:t>
        </w:r>
      </w:fldSimple>
      <w:bookmarkEnd w:id="3"/>
      <w:r>
        <w:t>: Prevalence of Hypertension by Age</w:t>
      </w:r>
      <w:r w:rsidR="007D2B61">
        <w:t xml:space="preserve"> Group, Gender, and Race</w:t>
      </w:r>
      <w:r w:rsidR="00F44A97">
        <w:t>, Marion County, 2012</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2610"/>
        <w:gridCol w:w="2384"/>
        <w:gridCol w:w="2314"/>
      </w:tblGrid>
      <w:tr w:rsidR="000C4979" w:rsidTr="007B511D">
        <w:trPr>
          <w:trHeight w:val="528"/>
        </w:trPr>
        <w:tc>
          <w:tcPr>
            <w:tcW w:w="2268" w:type="dxa"/>
            <w:tcBorders>
              <w:bottom w:val="single" w:sz="12" w:space="0" w:color="auto"/>
            </w:tcBorders>
            <w:shd w:val="clear" w:color="auto" w:fill="8DB3E2" w:themeFill="text2" w:themeFillTint="66"/>
          </w:tcPr>
          <w:p w:rsidR="000C4979" w:rsidRPr="0091776F" w:rsidRDefault="000C4979" w:rsidP="00705259">
            <w:pPr>
              <w:rPr>
                <w:b/>
                <w:highlight w:val="yellow"/>
              </w:rPr>
            </w:pPr>
            <w:r>
              <w:rPr>
                <w:rFonts w:ascii="Calibri" w:eastAsia="Times New Roman" w:hAnsi="Calibri" w:cs="Times New Roman"/>
                <w:b/>
                <w:bCs/>
              </w:rPr>
              <w:t>Category</w:t>
            </w:r>
          </w:p>
        </w:tc>
        <w:tc>
          <w:tcPr>
            <w:tcW w:w="2610" w:type="dxa"/>
            <w:tcBorders>
              <w:bottom w:val="single" w:sz="12" w:space="0" w:color="auto"/>
            </w:tcBorders>
            <w:shd w:val="clear" w:color="auto" w:fill="8DB3E2" w:themeFill="text2" w:themeFillTint="66"/>
          </w:tcPr>
          <w:p w:rsidR="000C4979" w:rsidRPr="0091776F" w:rsidRDefault="000C4979" w:rsidP="007B511D">
            <w:pPr>
              <w:jc w:val="center"/>
              <w:rPr>
                <w:b/>
                <w:highlight w:val="yellow"/>
              </w:rPr>
            </w:pPr>
            <w:r>
              <w:rPr>
                <w:b/>
              </w:rPr>
              <w:t>Marion County</w:t>
            </w:r>
            <w:r w:rsidRPr="00F7379B">
              <w:rPr>
                <w:b/>
              </w:rPr>
              <w:t xml:space="preserve"> Hypertension</w:t>
            </w:r>
            <w:r>
              <w:rPr>
                <w:b/>
              </w:rPr>
              <w:t xml:space="preserve"> Prevalence</w:t>
            </w:r>
            <w:r w:rsidRPr="00F7379B">
              <w:rPr>
                <w:b/>
              </w:rPr>
              <w:t xml:space="preserve"> (95% CI)</w:t>
            </w:r>
            <w:r>
              <w:rPr>
                <w:b/>
              </w:rPr>
              <w:t>, 2012</w:t>
            </w:r>
          </w:p>
        </w:tc>
        <w:tc>
          <w:tcPr>
            <w:tcW w:w="2384" w:type="dxa"/>
            <w:tcBorders>
              <w:bottom w:val="single" w:sz="12" w:space="0" w:color="auto"/>
            </w:tcBorders>
            <w:shd w:val="clear" w:color="auto" w:fill="8DB3E2" w:themeFill="text2" w:themeFillTint="66"/>
          </w:tcPr>
          <w:p w:rsidR="000C4979" w:rsidRDefault="000C4979" w:rsidP="007B511D">
            <w:pPr>
              <w:jc w:val="center"/>
              <w:rPr>
                <w:b/>
              </w:rPr>
            </w:pPr>
            <w:r>
              <w:rPr>
                <w:b/>
              </w:rPr>
              <w:t>Indiana Hypertension Prevalence, 2011</w:t>
            </w:r>
          </w:p>
        </w:tc>
        <w:tc>
          <w:tcPr>
            <w:tcW w:w="2314" w:type="dxa"/>
            <w:tcBorders>
              <w:bottom w:val="single" w:sz="12" w:space="0" w:color="auto"/>
            </w:tcBorders>
            <w:shd w:val="clear" w:color="auto" w:fill="8DB3E2" w:themeFill="text2" w:themeFillTint="66"/>
          </w:tcPr>
          <w:p w:rsidR="000C4979" w:rsidRPr="00F7379B" w:rsidRDefault="000C4979" w:rsidP="007B511D">
            <w:pPr>
              <w:jc w:val="center"/>
              <w:rPr>
                <w:b/>
              </w:rPr>
            </w:pPr>
            <w:r>
              <w:rPr>
                <w:b/>
              </w:rPr>
              <w:t xml:space="preserve">U.S. </w:t>
            </w:r>
            <w:r w:rsidR="00797F76">
              <w:rPr>
                <w:b/>
              </w:rPr>
              <w:t xml:space="preserve">Hypertension </w:t>
            </w:r>
            <w:r>
              <w:rPr>
                <w:b/>
              </w:rPr>
              <w:t>Prevalence, 2011</w:t>
            </w:r>
          </w:p>
        </w:tc>
      </w:tr>
      <w:tr w:rsidR="000C4979" w:rsidRPr="009B3B53" w:rsidTr="007B511D">
        <w:trPr>
          <w:trHeight w:val="300"/>
        </w:trPr>
        <w:tc>
          <w:tcPr>
            <w:tcW w:w="2268" w:type="dxa"/>
            <w:tcBorders>
              <w:top w:val="single" w:sz="12" w:space="0" w:color="auto"/>
              <w:bottom w:val="single" w:sz="6" w:space="0" w:color="auto"/>
            </w:tcBorders>
            <w:noWrap/>
            <w:hideMark/>
          </w:tcPr>
          <w:p w:rsidR="000C4979" w:rsidRPr="009B3B53" w:rsidRDefault="000C4979" w:rsidP="009B3B53">
            <w:pPr>
              <w:rPr>
                <w:rFonts w:ascii="Calibri" w:eastAsia="Times New Roman" w:hAnsi="Calibri" w:cs="Times New Roman"/>
                <w:b/>
                <w:bCs/>
                <w:color w:val="000000"/>
              </w:rPr>
            </w:pPr>
            <w:r w:rsidRPr="009B3B53">
              <w:rPr>
                <w:rFonts w:ascii="Calibri" w:eastAsia="Times New Roman" w:hAnsi="Calibri" w:cs="Times New Roman"/>
                <w:color w:val="000000"/>
              </w:rPr>
              <w:t>Ages</w:t>
            </w:r>
            <w:r>
              <w:rPr>
                <w:rFonts w:ascii="Calibri" w:eastAsia="Times New Roman" w:hAnsi="Calibri" w:cs="Times New Roman"/>
                <w:color w:val="000000"/>
              </w:rPr>
              <w:t>:</w:t>
            </w:r>
            <w:r w:rsidRPr="009B3B53">
              <w:rPr>
                <w:rFonts w:ascii="Calibri" w:eastAsia="Times New Roman" w:hAnsi="Calibri" w:cs="Times New Roman"/>
                <w:color w:val="000000"/>
              </w:rPr>
              <w:t xml:space="preserve"> 5-11</w:t>
            </w:r>
          </w:p>
        </w:tc>
        <w:tc>
          <w:tcPr>
            <w:tcW w:w="2610" w:type="dxa"/>
            <w:tcBorders>
              <w:top w:val="single" w:sz="12" w:space="0" w:color="auto"/>
              <w:bottom w:val="single" w:sz="6" w:space="0" w:color="auto"/>
            </w:tcBorders>
            <w:noWrap/>
            <w:hideMark/>
          </w:tcPr>
          <w:p w:rsidR="000C4979" w:rsidRPr="009B3B53" w:rsidRDefault="000C4979" w:rsidP="007B511D">
            <w:pPr>
              <w:jc w:val="center"/>
              <w:rPr>
                <w:rFonts w:ascii="Calibri" w:eastAsia="Times New Roman" w:hAnsi="Calibri" w:cs="Times New Roman"/>
                <w:b/>
                <w:bCs/>
                <w:color w:val="000000"/>
              </w:rPr>
            </w:pPr>
            <w:r w:rsidRPr="009B3B53">
              <w:rPr>
                <w:rFonts w:ascii="Calibri" w:eastAsia="Times New Roman" w:hAnsi="Calibri" w:cs="Times New Roman"/>
                <w:color w:val="000000"/>
              </w:rPr>
              <w:t>1.0</w:t>
            </w:r>
            <w:r>
              <w:rPr>
                <w:rFonts w:ascii="Calibri" w:eastAsia="Times New Roman" w:hAnsi="Calibri" w:cs="Times New Roman"/>
                <w:color w:val="000000"/>
              </w:rPr>
              <w:t xml:space="preserve"> %</w:t>
            </w:r>
            <w:r w:rsidRPr="009B3B53">
              <w:rPr>
                <w:rFonts w:ascii="Calibri" w:eastAsia="Times New Roman" w:hAnsi="Calibri" w:cs="Times New Roman"/>
                <w:color w:val="000000"/>
              </w:rPr>
              <w:t xml:space="preserve"> (-0.1 - 2.2)</w:t>
            </w:r>
          </w:p>
        </w:tc>
        <w:tc>
          <w:tcPr>
            <w:tcW w:w="2384" w:type="dxa"/>
            <w:tcBorders>
              <w:top w:val="single" w:sz="12"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12"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r>
      <w:tr w:rsidR="000C4979" w:rsidRPr="009B3B53" w:rsidTr="007B511D">
        <w:trPr>
          <w:trHeight w:val="300"/>
        </w:trPr>
        <w:tc>
          <w:tcPr>
            <w:tcW w:w="2268" w:type="dxa"/>
            <w:tcBorders>
              <w:top w:val="single" w:sz="6" w:space="0" w:color="auto"/>
              <w:bottom w:val="single" w:sz="6" w:space="0" w:color="auto"/>
            </w:tcBorders>
            <w:noWrap/>
            <w:hideMark/>
          </w:tcPr>
          <w:p w:rsidR="000C4979" w:rsidRPr="009B3B53" w:rsidRDefault="000C4979" w:rsidP="009B3B53">
            <w:pPr>
              <w:rPr>
                <w:rFonts w:ascii="Calibri" w:eastAsia="Times New Roman" w:hAnsi="Calibri" w:cs="Times New Roman"/>
                <w:color w:val="000000"/>
              </w:rPr>
            </w:pPr>
            <w:r w:rsidRPr="009B3B53">
              <w:rPr>
                <w:rFonts w:ascii="Calibri" w:eastAsia="Times New Roman" w:hAnsi="Calibri" w:cs="Times New Roman"/>
                <w:color w:val="000000"/>
              </w:rPr>
              <w:t>Ages</w:t>
            </w:r>
            <w:r>
              <w:rPr>
                <w:rFonts w:ascii="Calibri" w:eastAsia="Times New Roman" w:hAnsi="Calibri" w:cs="Times New Roman"/>
                <w:color w:val="000000"/>
              </w:rPr>
              <w:t>:</w:t>
            </w:r>
            <w:r w:rsidRPr="009B3B53">
              <w:rPr>
                <w:rFonts w:ascii="Calibri" w:eastAsia="Times New Roman" w:hAnsi="Calibri" w:cs="Times New Roman"/>
                <w:color w:val="000000"/>
              </w:rPr>
              <w:t xml:space="preserve"> 12-17</w:t>
            </w:r>
          </w:p>
        </w:tc>
        <w:tc>
          <w:tcPr>
            <w:tcW w:w="2610" w:type="dxa"/>
            <w:tcBorders>
              <w:top w:val="single" w:sz="6" w:space="0" w:color="auto"/>
              <w:bottom w:val="single" w:sz="6" w:space="0" w:color="auto"/>
            </w:tcBorders>
            <w:noWrap/>
            <w:hideMark/>
          </w:tcPr>
          <w:p w:rsidR="000C4979" w:rsidRPr="009B3B53" w:rsidRDefault="000C4979" w:rsidP="007B511D">
            <w:pPr>
              <w:jc w:val="center"/>
              <w:rPr>
                <w:rFonts w:ascii="Calibri" w:eastAsia="Times New Roman" w:hAnsi="Calibri" w:cs="Times New Roman"/>
                <w:color w:val="000000"/>
              </w:rPr>
            </w:pPr>
            <w:r w:rsidRPr="009B3B53">
              <w:rPr>
                <w:rFonts w:ascii="Calibri" w:eastAsia="Times New Roman" w:hAnsi="Calibri" w:cs="Times New Roman"/>
                <w:color w:val="000000"/>
              </w:rPr>
              <w:t xml:space="preserve">0.9 </w:t>
            </w:r>
            <w:r>
              <w:rPr>
                <w:rFonts w:ascii="Calibri" w:eastAsia="Times New Roman" w:hAnsi="Calibri" w:cs="Times New Roman"/>
                <w:color w:val="000000"/>
              </w:rPr>
              <w:t xml:space="preserve">% </w:t>
            </w:r>
            <w:r w:rsidRPr="009B3B53">
              <w:rPr>
                <w:rFonts w:ascii="Calibri" w:eastAsia="Times New Roman" w:hAnsi="Calibri" w:cs="Times New Roman"/>
                <w:color w:val="000000"/>
              </w:rPr>
              <w:t>(0.0 - 1.8)</w:t>
            </w:r>
          </w:p>
        </w:tc>
        <w:tc>
          <w:tcPr>
            <w:tcW w:w="2384" w:type="dxa"/>
            <w:tcBorders>
              <w:top w:val="single" w:sz="6"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6"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r>
      <w:tr w:rsidR="000C4979" w:rsidRPr="009B3B53" w:rsidTr="007B511D">
        <w:trPr>
          <w:trHeight w:val="300"/>
        </w:trPr>
        <w:tc>
          <w:tcPr>
            <w:tcW w:w="2268" w:type="dxa"/>
            <w:tcBorders>
              <w:top w:val="single" w:sz="6" w:space="0" w:color="auto"/>
              <w:bottom w:val="single" w:sz="6" w:space="0" w:color="auto"/>
            </w:tcBorders>
            <w:noWrap/>
            <w:hideMark/>
          </w:tcPr>
          <w:p w:rsidR="000C4979" w:rsidRPr="009B3B53" w:rsidRDefault="000C4979" w:rsidP="009B3B53">
            <w:pPr>
              <w:rPr>
                <w:rFonts w:ascii="Calibri" w:eastAsia="Times New Roman" w:hAnsi="Calibri" w:cs="Times New Roman"/>
                <w:color w:val="000000"/>
              </w:rPr>
            </w:pPr>
            <w:r w:rsidRPr="009B3B53">
              <w:rPr>
                <w:rFonts w:ascii="Calibri" w:eastAsia="Times New Roman" w:hAnsi="Calibri" w:cs="Times New Roman"/>
                <w:color w:val="000000"/>
              </w:rPr>
              <w:t>Ages</w:t>
            </w:r>
            <w:r>
              <w:rPr>
                <w:rFonts w:ascii="Calibri" w:eastAsia="Times New Roman" w:hAnsi="Calibri" w:cs="Times New Roman"/>
                <w:color w:val="000000"/>
              </w:rPr>
              <w:t>:</w:t>
            </w:r>
            <w:r w:rsidRPr="009B3B53">
              <w:rPr>
                <w:rFonts w:ascii="Calibri" w:eastAsia="Times New Roman" w:hAnsi="Calibri" w:cs="Times New Roman"/>
                <w:color w:val="000000"/>
              </w:rPr>
              <w:t xml:space="preserve"> 18-34</w:t>
            </w:r>
          </w:p>
        </w:tc>
        <w:tc>
          <w:tcPr>
            <w:tcW w:w="2610" w:type="dxa"/>
            <w:tcBorders>
              <w:top w:val="single" w:sz="6" w:space="0" w:color="auto"/>
              <w:bottom w:val="single" w:sz="6" w:space="0" w:color="auto"/>
            </w:tcBorders>
            <w:noWrap/>
            <w:hideMark/>
          </w:tcPr>
          <w:p w:rsidR="000C4979" w:rsidRPr="009B3B53" w:rsidRDefault="000C4979" w:rsidP="007B511D">
            <w:pPr>
              <w:jc w:val="center"/>
              <w:rPr>
                <w:rFonts w:ascii="Calibri" w:eastAsia="Times New Roman" w:hAnsi="Calibri" w:cs="Times New Roman"/>
                <w:color w:val="000000"/>
              </w:rPr>
            </w:pPr>
            <w:r w:rsidRPr="009B3B53">
              <w:rPr>
                <w:rFonts w:ascii="Calibri" w:eastAsia="Times New Roman" w:hAnsi="Calibri" w:cs="Times New Roman"/>
                <w:color w:val="000000"/>
              </w:rPr>
              <w:t>9.7</w:t>
            </w:r>
            <w:r>
              <w:rPr>
                <w:rFonts w:ascii="Calibri" w:eastAsia="Times New Roman" w:hAnsi="Calibri" w:cs="Times New Roman"/>
                <w:color w:val="000000"/>
              </w:rPr>
              <w:t xml:space="preserve"> %</w:t>
            </w:r>
            <w:r w:rsidRPr="009B3B53">
              <w:rPr>
                <w:rFonts w:ascii="Calibri" w:eastAsia="Times New Roman" w:hAnsi="Calibri" w:cs="Times New Roman"/>
                <w:color w:val="000000"/>
              </w:rPr>
              <w:t xml:space="preserve"> (7.1 - 12.3)</w:t>
            </w:r>
          </w:p>
        </w:tc>
        <w:tc>
          <w:tcPr>
            <w:tcW w:w="2384" w:type="dxa"/>
            <w:tcBorders>
              <w:top w:val="single" w:sz="6"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6" w:space="0" w:color="auto"/>
              <w:bottom w:val="single" w:sz="6" w:space="0" w:color="auto"/>
            </w:tcBorders>
          </w:tcPr>
          <w:p w:rsidR="000C4979" w:rsidRPr="009B3B53" w:rsidRDefault="00322343" w:rsidP="007B511D">
            <w:pPr>
              <w:jc w:val="center"/>
              <w:rPr>
                <w:rFonts w:ascii="Calibri" w:eastAsia="Times New Roman" w:hAnsi="Calibri" w:cs="Times New Roman"/>
                <w:color w:val="000000"/>
              </w:rPr>
            </w:pPr>
            <w:r>
              <w:rPr>
                <w:rFonts w:ascii="Calibri" w:eastAsia="Times New Roman" w:hAnsi="Calibri" w:cs="Times New Roman"/>
                <w:color w:val="000000"/>
              </w:rPr>
              <w:t>10.3%</w:t>
            </w:r>
            <w:r w:rsidR="006E41B2">
              <w:rPr>
                <w:rFonts w:ascii="Calibri" w:eastAsia="Times New Roman" w:hAnsi="Calibri" w:cs="Times New Roman"/>
                <w:color w:val="000000"/>
              </w:rPr>
              <w:t xml:space="preserve"> (9.9-10.7)</w:t>
            </w:r>
          </w:p>
        </w:tc>
      </w:tr>
      <w:tr w:rsidR="000C4979" w:rsidRPr="009B3B53" w:rsidTr="007B511D">
        <w:trPr>
          <w:trHeight w:val="300"/>
        </w:trPr>
        <w:tc>
          <w:tcPr>
            <w:tcW w:w="2268" w:type="dxa"/>
            <w:tcBorders>
              <w:top w:val="single" w:sz="6" w:space="0" w:color="auto"/>
              <w:bottom w:val="single" w:sz="6" w:space="0" w:color="auto"/>
            </w:tcBorders>
            <w:noWrap/>
            <w:hideMark/>
          </w:tcPr>
          <w:p w:rsidR="000C4979" w:rsidRPr="009B3B53" w:rsidRDefault="000C4979" w:rsidP="009B3B53">
            <w:pPr>
              <w:rPr>
                <w:rFonts w:ascii="Calibri" w:eastAsia="Times New Roman" w:hAnsi="Calibri" w:cs="Times New Roman"/>
                <w:color w:val="000000"/>
              </w:rPr>
            </w:pPr>
            <w:r w:rsidRPr="009B3B53">
              <w:rPr>
                <w:rFonts w:ascii="Calibri" w:eastAsia="Times New Roman" w:hAnsi="Calibri" w:cs="Times New Roman"/>
                <w:color w:val="000000"/>
              </w:rPr>
              <w:t>Ages</w:t>
            </w:r>
            <w:r>
              <w:rPr>
                <w:rFonts w:ascii="Calibri" w:eastAsia="Times New Roman" w:hAnsi="Calibri" w:cs="Times New Roman"/>
                <w:color w:val="000000"/>
              </w:rPr>
              <w:t>:</w:t>
            </w:r>
            <w:r w:rsidRPr="009B3B53">
              <w:rPr>
                <w:rFonts w:ascii="Calibri" w:eastAsia="Times New Roman" w:hAnsi="Calibri" w:cs="Times New Roman"/>
                <w:color w:val="000000"/>
              </w:rPr>
              <w:t xml:space="preserve"> 35-64</w:t>
            </w:r>
          </w:p>
        </w:tc>
        <w:tc>
          <w:tcPr>
            <w:tcW w:w="2610" w:type="dxa"/>
            <w:tcBorders>
              <w:top w:val="single" w:sz="6" w:space="0" w:color="auto"/>
              <w:bottom w:val="single" w:sz="6" w:space="0" w:color="auto"/>
            </w:tcBorders>
            <w:noWrap/>
            <w:hideMark/>
          </w:tcPr>
          <w:p w:rsidR="000C4979" w:rsidRPr="009B3B53" w:rsidRDefault="000C4979" w:rsidP="007B511D">
            <w:pPr>
              <w:jc w:val="center"/>
              <w:rPr>
                <w:rFonts w:ascii="Calibri" w:eastAsia="Times New Roman" w:hAnsi="Calibri" w:cs="Times New Roman"/>
                <w:color w:val="000000"/>
              </w:rPr>
            </w:pPr>
            <w:r w:rsidRPr="009B3B53">
              <w:rPr>
                <w:rFonts w:ascii="Calibri" w:eastAsia="Times New Roman" w:hAnsi="Calibri" w:cs="Times New Roman"/>
                <w:color w:val="000000"/>
              </w:rPr>
              <w:t>35.0</w:t>
            </w:r>
            <w:r>
              <w:rPr>
                <w:rFonts w:ascii="Calibri" w:eastAsia="Times New Roman" w:hAnsi="Calibri" w:cs="Times New Roman"/>
                <w:color w:val="000000"/>
              </w:rPr>
              <w:t xml:space="preserve"> %</w:t>
            </w:r>
            <w:r w:rsidRPr="009B3B53">
              <w:rPr>
                <w:rFonts w:ascii="Calibri" w:eastAsia="Times New Roman" w:hAnsi="Calibri" w:cs="Times New Roman"/>
                <w:color w:val="000000"/>
              </w:rPr>
              <w:t xml:space="preserve"> (32.6 - 38.1)</w:t>
            </w:r>
          </w:p>
        </w:tc>
        <w:tc>
          <w:tcPr>
            <w:tcW w:w="2384" w:type="dxa"/>
            <w:tcBorders>
              <w:top w:val="single" w:sz="6" w:space="0" w:color="auto"/>
              <w:bottom w:val="single" w:sz="6"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6" w:space="0" w:color="auto"/>
              <w:bottom w:val="single" w:sz="6" w:space="0" w:color="auto"/>
            </w:tcBorders>
          </w:tcPr>
          <w:p w:rsidR="000C4979" w:rsidRPr="009B3B53" w:rsidRDefault="00322343" w:rsidP="007B511D">
            <w:pPr>
              <w:jc w:val="center"/>
              <w:rPr>
                <w:rFonts w:ascii="Calibri" w:eastAsia="Times New Roman" w:hAnsi="Calibri" w:cs="Times New Roman"/>
                <w:color w:val="000000"/>
              </w:rPr>
            </w:pPr>
            <w:r>
              <w:rPr>
                <w:rFonts w:ascii="Calibri" w:eastAsia="Times New Roman" w:hAnsi="Calibri" w:cs="Times New Roman"/>
                <w:color w:val="000000"/>
              </w:rPr>
              <w:t>33.5%</w:t>
            </w:r>
            <w:r w:rsidR="006E41B2">
              <w:rPr>
                <w:rFonts w:ascii="Calibri" w:eastAsia="Times New Roman" w:hAnsi="Calibri" w:cs="Times New Roman"/>
                <w:color w:val="000000"/>
              </w:rPr>
              <w:t xml:space="preserve"> (33.2-33.9)</w:t>
            </w:r>
          </w:p>
        </w:tc>
      </w:tr>
      <w:tr w:rsidR="000C4979" w:rsidRPr="009B3B53" w:rsidTr="007B511D">
        <w:trPr>
          <w:trHeight w:val="300"/>
        </w:trPr>
        <w:tc>
          <w:tcPr>
            <w:tcW w:w="2268" w:type="dxa"/>
            <w:tcBorders>
              <w:top w:val="single" w:sz="6" w:space="0" w:color="auto"/>
              <w:bottom w:val="single" w:sz="12" w:space="0" w:color="auto"/>
            </w:tcBorders>
            <w:noWrap/>
            <w:hideMark/>
          </w:tcPr>
          <w:p w:rsidR="000C4979" w:rsidRPr="009B3B53" w:rsidRDefault="000C4979" w:rsidP="009B3B53">
            <w:pPr>
              <w:rPr>
                <w:rFonts w:ascii="Calibri" w:eastAsia="Times New Roman" w:hAnsi="Calibri" w:cs="Times New Roman"/>
                <w:color w:val="000000"/>
              </w:rPr>
            </w:pPr>
            <w:r w:rsidRPr="009B3B53">
              <w:rPr>
                <w:rFonts w:ascii="Calibri" w:eastAsia="Times New Roman" w:hAnsi="Calibri" w:cs="Times New Roman"/>
                <w:color w:val="000000"/>
              </w:rPr>
              <w:t>Ages</w:t>
            </w:r>
            <w:r>
              <w:rPr>
                <w:rFonts w:ascii="Calibri" w:eastAsia="Times New Roman" w:hAnsi="Calibri" w:cs="Times New Roman"/>
                <w:color w:val="000000"/>
              </w:rPr>
              <w:t>:</w:t>
            </w:r>
            <w:r w:rsidRPr="009B3B53">
              <w:rPr>
                <w:rFonts w:ascii="Calibri" w:eastAsia="Times New Roman" w:hAnsi="Calibri" w:cs="Times New Roman"/>
                <w:color w:val="000000"/>
              </w:rPr>
              <w:t xml:space="preserve"> 65 and over</w:t>
            </w:r>
          </w:p>
        </w:tc>
        <w:tc>
          <w:tcPr>
            <w:tcW w:w="2610" w:type="dxa"/>
            <w:tcBorders>
              <w:top w:val="single" w:sz="6" w:space="0" w:color="auto"/>
              <w:bottom w:val="single" w:sz="12" w:space="0" w:color="auto"/>
            </w:tcBorders>
            <w:noWrap/>
            <w:hideMark/>
          </w:tcPr>
          <w:p w:rsidR="000C4979" w:rsidRPr="009B3B53" w:rsidRDefault="000C4979" w:rsidP="007B511D">
            <w:pPr>
              <w:jc w:val="center"/>
              <w:rPr>
                <w:rFonts w:ascii="Calibri" w:eastAsia="Times New Roman" w:hAnsi="Calibri" w:cs="Times New Roman"/>
                <w:color w:val="000000"/>
              </w:rPr>
            </w:pPr>
            <w:r w:rsidRPr="009B3B53">
              <w:rPr>
                <w:rFonts w:ascii="Calibri" w:eastAsia="Times New Roman" w:hAnsi="Calibri" w:cs="Times New Roman"/>
                <w:color w:val="000000"/>
              </w:rPr>
              <w:t>64.0</w:t>
            </w:r>
            <w:r>
              <w:rPr>
                <w:rFonts w:ascii="Calibri" w:eastAsia="Times New Roman" w:hAnsi="Calibri" w:cs="Times New Roman"/>
                <w:color w:val="000000"/>
              </w:rPr>
              <w:t xml:space="preserve"> %</w:t>
            </w:r>
            <w:r w:rsidRPr="009B3B53">
              <w:rPr>
                <w:rFonts w:ascii="Calibri" w:eastAsia="Times New Roman" w:hAnsi="Calibri" w:cs="Times New Roman"/>
                <w:color w:val="000000"/>
              </w:rPr>
              <w:t xml:space="preserve"> (59.6 - 67.6)</w:t>
            </w:r>
          </w:p>
        </w:tc>
        <w:tc>
          <w:tcPr>
            <w:tcW w:w="2384" w:type="dxa"/>
            <w:tcBorders>
              <w:top w:val="single" w:sz="6" w:space="0" w:color="auto"/>
              <w:bottom w:val="single" w:sz="12"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6" w:space="0" w:color="auto"/>
              <w:bottom w:val="single" w:sz="12" w:space="0" w:color="auto"/>
            </w:tcBorders>
          </w:tcPr>
          <w:p w:rsidR="000C4979" w:rsidRPr="009B3B53" w:rsidRDefault="00322343" w:rsidP="007B511D">
            <w:pPr>
              <w:jc w:val="center"/>
              <w:rPr>
                <w:rFonts w:ascii="Calibri" w:eastAsia="Times New Roman" w:hAnsi="Calibri" w:cs="Times New Roman"/>
                <w:color w:val="000000"/>
              </w:rPr>
            </w:pPr>
            <w:r>
              <w:rPr>
                <w:rFonts w:ascii="Calibri" w:eastAsia="Times New Roman" w:hAnsi="Calibri" w:cs="Times New Roman"/>
                <w:color w:val="000000"/>
              </w:rPr>
              <w:t>62.0%</w:t>
            </w:r>
            <w:r w:rsidR="006E41B2">
              <w:rPr>
                <w:rFonts w:ascii="Calibri" w:eastAsia="Times New Roman" w:hAnsi="Calibri" w:cs="Times New Roman"/>
                <w:color w:val="000000"/>
              </w:rPr>
              <w:t xml:space="preserve"> (61.6-62.5)</w:t>
            </w:r>
          </w:p>
        </w:tc>
      </w:tr>
      <w:tr w:rsidR="000C4979" w:rsidRPr="009B3B53" w:rsidTr="007B511D">
        <w:trPr>
          <w:trHeight w:val="300"/>
        </w:trPr>
        <w:tc>
          <w:tcPr>
            <w:tcW w:w="2268" w:type="dxa"/>
            <w:tcBorders>
              <w:top w:val="single" w:sz="12" w:space="0" w:color="auto"/>
              <w:bottom w:val="single" w:sz="12" w:space="0" w:color="auto"/>
            </w:tcBorders>
            <w:shd w:val="clear" w:color="auto" w:fill="auto"/>
            <w:noWrap/>
          </w:tcPr>
          <w:p w:rsidR="000C4979" w:rsidRPr="009B3B53" w:rsidRDefault="000C4979" w:rsidP="009B3B53">
            <w:pPr>
              <w:rPr>
                <w:rFonts w:ascii="Calibri" w:eastAsia="Times New Roman" w:hAnsi="Calibri" w:cs="Times New Roman"/>
                <w:color w:val="000000"/>
              </w:rPr>
            </w:pPr>
          </w:p>
        </w:tc>
        <w:tc>
          <w:tcPr>
            <w:tcW w:w="2610" w:type="dxa"/>
            <w:tcBorders>
              <w:top w:val="single" w:sz="12" w:space="0" w:color="auto"/>
              <w:bottom w:val="single" w:sz="12" w:space="0" w:color="auto"/>
            </w:tcBorders>
            <w:shd w:val="clear" w:color="auto" w:fill="auto"/>
            <w:noWrap/>
          </w:tcPr>
          <w:p w:rsidR="000C4979" w:rsidRPr="009B3B53" w:rsidRDefault="000C4979" w:rsidP="007B511D">
            <w:pPr>
              <w:jc w:val="center"/>
              <w:rPr>
                <w:rFonts w:ascii="Calibri" w:eastAsia="Times New Roman" w:hAnsi="Calibri" w:cs="Times New Roman"/>
                <w:color w:val="000000"/>
              </w:rPr>
            </w:pPr>
          </w:p>
        </w:tc>
        <w:tc>
          <w:tcPr>
            <w:tcW w:w="2384" w:type="dxa"/>
            <w:tcBorders>
              <w:top w:val="single" w:sz="12" w:space="0" w:color="auto"/>
              <w:bottom w:val="single" w:sz="12" w:space="0" w:color="auto"/>
            </w:tcBorders>
          </w:tcPr>
          <w:p w:rsidR="000C4979" w:rsidRPr="009B3B53" w:rsidRDefault="000C4979" w:rsidP="007B511D">
            <w:pPr>
              <w:jc w:val="center"/>
              <w:rPr>
                <w:rFonts w:ascii="Calibri" w:eastAsia="Times New Roman" w:hAnsi="Calibri" w:cs="Times New Roman"/>
                <w:color w:val="000000"/>
              </w:rPr>
            </w:pPr>
          </w:p>
        </w:tc>
        <w:tc>
          <w:tcPr>
            <w:tcW w:w="2314" w:type="dxa"/>
            <w:tcBorders>
              <w:top w:val="single" w:sz="12" w:space="0" w:color="auto"/>
              <w:bottom w:val="single" w:sz="12" w:space="0" w:color="auto"/>
            </w:tcBorders>
          </w:tcPr>
          <w:p w:rsidR="000C4979" w:rsidRPr="009B3B53" w:rsidRDefault="000C4979" w:rsidP="007B511D">
            <w:pPr>
              <w:jc w:val="center"/>
              <w:rPr>
                <w:rFonts w:ascii="Calibri" w:eastAsia="Times New Roman" w:hAnsi="Calibri" w:cs="Times New Roman"/>
                <w:color w:val="000000"/>
              </w:rPr>
            </w:pPr>
          </w:p>
        </w:tc>
      </w:tr>
      <w:tr w:rsidR="000C4979" w:rsidRPr="009B3B53" w:rsidTr="007B511D">
        <w:trPr>
          <w:trHeight w:val="300"/>
        </w:trPr>
        <w:tc>
          <w:tcPr>
            <w:tcW w:w="2268" w:type="dxa"/>
            <w:tcBorders>
              <w:top w:val="single" w:sz="12" w:space="0" w:color="auto"/>
              <w:bottom w:val="single" w:sz="6" w:space="0" w:color="auto"/>
            </w:tcBorders>
            <w:noWrap/>
          </w:tcPr>
          <w:p w:rsidR="000C4979" w:rsidRPr="009B3B53" w:rsidRDefault="000C4979" w:rsidP="009B3B53">
            <w:pPr>
              <w:rPr>
                <w:rFonts w:ascii="Calibri" w:eastAsia="Times New Roman" w:hAnsi="Calibri" w:cs="Times New Roman"/>
                <w:color w:val="000000"/>
              </w:rPr>
            </w:pPr>
            <w:r>
              <w:rPr>
                <w:rFonts w:ascii="Calibri" w:eastAsia="Times New Roman" w:hAnsi="Calibri" w:cs="Times New Roman"/>
                <w:color w:val="000000"/>
              </w:rPr>
              <w:t>Female</w:t>
            </w:r>
          </w:p>
        </w:tc>
        <w:tc>
          <w:tcPr>
            <w:tcW w:w="2610" w:type="dxa"/>
            <w:tcBorders>
              <w:top w:val="single" w:sz="12" w:space="0" w:color="auto"/>
              <w:bottom w:val="single" w:sz="6" w:space="0" w:color="auto"/>
            </w:tcBorders>
            <w:noWrap/>
          </w:tcPr>
          <w:p w:rsidR="000C4979" w:rsidRPr="009B3B53" w:rsidRDefault="000C4979" w:rsidP="007B511D">
            <w:pPr>
              <w:jc w:val="center"/>
              <w:rPr>
                <w:rFonts w:ascii="Calibri" w:eastAsia="Times New Roman" w:hAnsi="Calibri" w:cs="Times New Roman"/>
                <w:b/>
                <w:bCs/>
                <w:color w:val="000000"/>
              </w:rPr>
            </w:pPr>
            <w:r>
              <w:rPr>
                <w:rFonts w:ascii="Calibri" w:eastAsia="Times New Roman" w:hAnsi="Calibri" w:cs="Times New Roman"/>
                <w:color w:val="000000"/>
              </w:rPr>
              <w:t>30.8 % (28.3 – 33.3</w:t>
            </w:r>
            <w:r w:rsidRPr="009B3B53">
              <w:rPr>
                <w:rFonts w:ascii="Calibri" w:eastAsia="Times New Roman" w:hAnsi="Calibri" w:cs="Times New Roman"/>
                <w:color w:val="000000"/>
              </w:rPr>
              <w:t>)</w:t>
            </w:r>
          </w:p>
        </w:tc>
        <w:tc>
          <w:tcPr>
            <w:tcW w:w="2384" w:type="dxa"/>
            <w:tcBorders>
              <w:top w:val="single" w:sz="12" w:space="0" w:color="auto"/>
              <w:bottom w:val="single" w:sz="6"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31.3 %</w:t>
            </w:r>
          </w:p>
        </w:tc>
        <w:tc>
          <w:tcPr>
            <w:tcW w:w="2314" w:type="dxa"/>
            <w:tcBorders>
              <w:top w:val="single" w:sz="12" w:space="0" w:color="auto"/>
              <w:bottom w:val="single" w:sz="6"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30.0 %</w:t>
            </w:r>
          </w:p>
        </w:tc>
      </w:tr>
      <w:tr w:rsidR="000C4979" w:rsidRPr="009B3B53" w:rsidTr="007B511D">
        <w:trPr>
          <w:trHeight w:val="300"/>
        </w:trPr>
        <w:tc>
          <w:tcPr>
            <w:tcW w:w="2268" w:type="dxa"/>
            <w:tcBorders>
              <w:top w:val="single" w:sz="6" w:space="0" w:color="auto"/>
              <w:bottom w:val="single" w:sz="12" w:space="0" w:color="auto"/>
            </w:tcBorders>
            <w:noWrap/>
          </w:tcPr>
          <w:p w:rsidR="000C4979" w:rsidRPr="009B3B53" w:rsidRDefault="000C4979" w:rsidP="009B3B53">
            <w:pPr>
              <w:rPr>
                <w:rFonts w:ascii="Calibri" w:eastAsia="Times New Roman" w:hAnsi="Calibri" w:cs="Times New Roman"/>
                <w:color w:val="000000"/>
              </w:rPr>
            </w:pPr>
            <w:r>
              <w:rPr>
                <w:rFonts w:ascii="Calibri" w:eastAsia="Times New Roman" w:hAnsi="Calibri" w:cs="Times New Roman"/>
                <w:color w:val="000000"/>
              </w:rPr>
              <w:t>Male</w:t>
            </w:r>
          </w:p>
        </w:tc>
        <w:tc>
          <w:tcPr>
            <w:tcW w:w="2610" w:type="dxa"/>
            <w:tcBorders>
              <w:top w:val="single" w:sz="6" w:space="0" w:color="auto"/>
              <w:bottom w:val="single" w:sz="12" w:space="0" w:color="auto"/>
            </w:tcBorders>
            <w:noWrap/>
          </w:tcPr>
          <w:p w:rsidR="000C4979" w:rsidRPr="009B3B53"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31.0</w:t>
            </w:r>
            <w:r w:rsidRPr="009B3B53">
              <w:rPr>
                <w:rFonts w:ascii="Calibri" w:eastAsia="Times New Roman" w:hAnsi="Calibri" w:cs="Times New Roman"/>
                <w:color w:val="000000"/>
              </w:rPr>
              <w:t xml:space="preserve"> </w:t>
            </w:r>
            <w:r>
              <w:rPr>
                <w:rFonts w:ascii="Calibri" w:eastAsia="Times New Roman" w:hAnsi="Calibri" w:cs="Times New Roman"/>
                <w:color w:val="000000"/>
              </w:rPr>
              <w:t>% (31.0 – 34.0</w:t>
            </w:r>
            <w:r w:rsidRPr="009B3B53">
              <w:rPr>
                <w:rFonts w:ascii="Calibri" w:eastAsia="Times New Roman" w:hAnsi="Calibri" w:cs="Times New Roman"/>
                <w:color w:val="000000"/>
              </w:rPr>
              <w:t>)</w:t>
            </w:r>
          </w:p>
        </w:tc>
        <w:tc>
          <w:tcPr>
            <w:tcW w:w="2384" w:type="dxa"/>
            <w:tcBorders>
              <w:top w:val="single" w:sz="6" w:space="0" w:color="auto"/>
              <w:bottom w:val="single" w:sz="12"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34.4 %</w:t>
            </w:r>
          </w:p>
        </w:tc>
        <w:tc>
          <w:tcPr>
            <w:tcW w:w="2314" w:type="dxa"/>
            <w:tcBorders>
              <w:top w:val="single" w:sz="6" w:space="0" w:color="auto"/>
              <w:bottom w:val="single" w:sz="12"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32.1 %</w:t>
            </w:r>
          </w:p>
        </w:tc>
      </w:tr>
      <w:tr w:rsidR="000C4979" w:rsidRPr="009B3B53" w:rsidTr="007B511D">
        <w:trPr>
          <w:trHeight w:val="300"/>
        </w:trPr>
        <w:tc>
          <w:tcPr>
            <w:tcW w:w="2268" w:type="dxa"/>
            <w:tcBorders>
              <w:top w:val="single" w:sz="12" w:space="0" w:color="auto"/>
              <w:bottom w:val="single" w:sz="12" w:space="0" w:color="auto"/>
            </w:tcBorders>
            <w:shd w:val="clear" w:color="auto" w:fill="auto"/>
            <w:noWrap/>
          </w:tcPr>
          <w:p w:rsidR="000C4979" w:rsidRDefault="000C4979" w:rsidP="009B3B53">
            <w:pPr>
              <w:rPr>
                <w:rFonts w:ascii="Calibri" w:eastAsia="Times New Roman" w:hAnsi="Calibri" w:cs="Times New Roman"/>
                <w:color w:val="000000"/>
              </w:rPr>
            </w:pPr>
          </w:p>
        </w:tc>
        <w:tc>
          <w:tcPr>
            <w:tcW w:w="2610" w:type="dxa"/>
            <w:tcBorders>
              <w:top w:val="single" w:sz="12" w:space="0" w:color="auto"/>
              <w:bottom w:val="single" w:sz="12" w:space="0" w:color="auto"/>
            </w:tcBorders>
            <w:shd w:val="clear" w:color="auto" w:fill="auto"/>
            <w:noWrap/>
          </w:tcPr>
          <w:p w:rsidR="000C4979" w:rsidRDefault="000C4979" w:rsidP="007B511D">
            <w:pPr>
              <w:jc w:val="center"/>
              <w:rPr>
                <w:rFonts w:ascii="Calibri" w:eastAsia="Times New Roman" w:hAnsi="Calibri" w:cs="Times New Roman"/>
                <w:color w:val="000000"/>
              </w:rPr>
            </w:pPr>
          </w:p>
        </w:tc>
        <w:tc>
          <w:tcPr>
            <w:tcW w:w="2384" w:type="dxa"/>
            <w:tcBorders>
              <w:top w:val="single" w:sz="12" w:space="0" w:color="auto"/>
              <w:bottom w:val="single" w:sz="12" w:space="0" w:color="auto"/>
            </w:tcBorders>
          </w:tcPr>
          <w:p w:rsidR="000C4979" w:rsidRDefault="000C4979" w:rsidP="007B511D">
            <w:pPr>
              <w:jc w:val="center"/>
              <w:rPr>
                <w:rFonts w:ascii="Calibri" w:eastAsia="Times New Roman" w:hAnsi="Calibri" w:cs="Times New Roman"/>
                <w:color w:val="000000"/>
              </w:rPr>
            </w:pPr>
          </w:p>
        </w:tc>
        <w:tc>
          <w:tcPr>
            <w:tcW w:w="2314" w:type="dxa"/>
            <w:tcBorders>
              <w:top w:val="single" w:sz="12" w:space="0" w:color="auto"/>
              <w:bottom w:val="single" w:sz="12" w:space="0" w:color="auto"/>
            </w:tcBorders>
          </w:tcPr>
          <w:p w:rsidR="000C4979" w:rsidRDefault="000C4979" w:rsidP="007B511D">
            <w:pPr>
              <w:jc w:val="center"/>
              <w:rPr>
                <w:rFonts w:ascii="Calibri" w:eastAsia="Times New Roman" w:hAnsi="Calibri" w:cs="Times New Roman"/>
                <w:color w:val="000000"/>
              </w:rPr>
            </w:pPr>
          </w:p>
        </w:tc>
      </w:tr>
      <w:tr w:rsidR="000C4979" w:rsidRPr="009B3B53" w:rsidTr="007B511D">
        <w:trPr>
          <w:trHeight w:val="300"/>
        </w:trPr>
        <w:tc>
          <w:tcPr>
            <w:tcW w:w="2268" w:type="dxa"/>
            <w:tcBorders>
              <w:top w:val="single" w:sz="12" w:space="0" w:color="auto"/>
              <w:bottom w:val="single" w:sz="6" w:space="0" w:color="auto"/>
            </w:tcBorders>
            <w:noWrap/>
          </w:tcPr>
          <w:p w:rsidR="000C4979" w:rsidRDefault="000C4979" w:rsidP="009B3B53">
            <w:pPr>
              <w:rPr>
                <w:rFonts w:ascii="Calibri" w:eastAsia="Times New Roman" w:hAnsi="Calibri" w:cs="Times New Roman"/>
                <w:color w:val="000000"/>
              </w:rPr>
            </w:pPr>
            <w:r>
              <w:rPr>
                <w:rFonts w:ascii="Calibri" w:eastAsia="Times New Roman" w:hAnsi="Calibri" w:cs="Times New Roman"/>
                <w:color w:val="000000"/>
              </w:rPr>
              <w:t>White</w:t>
            </w:r>
          </w:p>
        </w:tc>
        <w:tc>
          <w:tcPr>
            <w:tcW w:w="2610" w:type="dxa"/>
            <w:tcBorders>
              <w:top w:val="single" w:sz="12" w:space="0" w:color="auto"/>
              <w:bottom w:val="single" w:sz="6" w:space="0" w:color="auto"/>
            </w:tcBorders>
            <w:noWrap/>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31.2 % (28.8 - 33.6)</w:t>
            </w:r>
          </w:p>
        </w:tc>
        <w:tc>
          <w:tcPr>
            <w:tcW w:w="2384" w:type="dxa"/>
            <w:tcBorders>
              <w:top w:val="single" w:sz="12" w:space="0" w:color="auto"/>
              <w:bottom w:val="single" w:sz="6"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33.3%</w:t>
            </w:r>
          </w:p>
        </w:tc>
        <w:tc>
          <w:tcPr>
            <w:tcW w:w="2314" w:type="dxa"/>
            <w:tcBorders>
              <w:top w:val="single" w:sz="12" w:space="0" w:color="auto"/>
              <w:bottom w:val="single" w:sz="6"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31.7 %</w:t>
            </w:r>
          </w:p>
        </w:tc>
      </w:tr>
      <w:tr w:rsidR="000C4979" w:rsidRPr="009B3B53" w:rsidTr="007B511D">
        <w:trPr>
          <w:trHeight w:val="300"/>
        </w:trPr>
        <w:tc>
          <w:tcPr>
            <w:tcW w:w="2268" w:type="dxa"/>
            <w:tcBorders>
              <w:top w:val="single" w:sz="6" w:space="0" w:color="auto"/>
              <w:bottom w:val="single" w:sz="6" w:space="0" w:color="auto"/>
            </w:tcBorders>
            <w:noWrap/>
          </w:tcPr>
          <w:p w:rsidR="000C4979" w:rsidRDefault="000C4979" w:rsidP="009B3B53">
            <w:pPr>
              <w:rPr>
                <w:rFonts w:ascii="Calibri" w:eastAsia="Times New Roman" w:hAnsi="Calibri" w:cs="Times New Roman"/>
                <w:color w:val="000000"/>
              </w:rPr>
            </w:pPr>
            <w:r>
              <w:rPr>
                <w:rFonts w:ascii="Calibri" w:eastAsia="Times New Roman" w:hAnsi="Calibri" w:cs="Times New Roman"/>
                <w:color w:val="000000"/>
              </w:rPr>
              <w:t>Black</w:t>
            </w:r>
          </w:p>
        </w:tc>
        <w:tc>
          <w:tcPr>
            <w:tcW w:w="2610" w:type="dxa"/>
            <w:tcBorders>
              <w:top w:val="single" w:sz="6" w:space="0" w:color="auto"/>
              <w:bottom w:val="single" w:sz="6" w:space="0" w:color="auto"/>
            </w:tcBorders>
            <w:noWrap/>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38.5 % (34.3 - 42.7)</w:t>
            </w:r>
          </w:p>
        </w:tc>
        <w:tc>
          <w:tcPr>
            <w:tcW w:w="2384" w:type="dxa"/>
            <w:tcBorders>
              <w:top w:val="single" w:sz="6" w:space="0" w:color="auto"/>
              <w:bottom w:val="single" w:sz="6" w:space="0" w:color="auto"/>
            </w:tcBorders>
          </w:tcPr>
          <w:p w:rsidR="000C4979" w:rsidRDefault="00ED6175" w:rsidP="007B511D">
            <w:pPr>
              <w:jc w:val="center"/>
              <w:rPr>
                <w:rFonts w:ascii="Calibri" w:eastAsia="Times New Roman" w:hAnsi="Calibri" w:cs="Times New Roman"/>
                <w:color w:val="000000"/>
              </w:rPr>
            </w:pPr>
            <w:r>
              <w:rPr>
                <w:rFonts w:ascii="Calibri" w:eastAsia="Times New Roman" w:hAnsi="Calibri" w:cs="Times New Roman"/>
                <w:color w:val="000000"/>
              </w:rPr>
              <w:t>36.6%</w:t>
            </w:r>
          </w:p>
        </w:tc>
        <w:tc>
          <w:tcPr>
            <w:tcW w:w="2314" w:type="dxa"/>
            <w:tcBorders>
              <w:top w:val="single" w:sz="6" w:space="0" w:color="auto"/>
              <w:bottom w:val="single" w:sz="6"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39.2 %</w:t>
            </w:r>
          </w:p>
        </w:tc>
      </w:tr>
      <w:tr w:rsidR="000C4979" w:rsidRPr="009B3B53" w:rsidTr="007B511D">
        <w:trPr>
          <w:trHeight w:val="300"/>
        </w:trPr>
        <w:tc>
          <w:tcPr>
            <w:tcW w:w="2268" w:type="dxa"/>
            <w:tcBorders>
              <w:top w:val="single" w:sz="6" w:space="0" w:color="auto"/>
              <w:bottom w:val="single" w:sz="12" w:space="0" w:color="auto"/>
            </w:tcBorders>
            <w:noWrap/>
          </w:tcPr>
          <w:p w:rsidR="000C4979" w:rsidRDefault="000C4979" w:rsidP="009B3B53">
            <w:pPr>
              <w:rPr>
                <w:rFonts w:ascii="Calibri" w:eastAsia="Times New Roman" w:hAnsi="Calibri" w:cs="Times New Roman"/>
                <w:color w:val="000000"/>
              </w:rPr>
            </w:pPr>
            <w:r>
              <w:rPr>
                <w:rFonts w:ascii="Calibri" w:eastAsia="Times New Roman" w:hAnsi="Calibri" w:cs="Times New Roman"/>
                <w:color w:val="000000"/>
              </w:rPr>
              <w:t>Hispanic</w:t>
            </w:r>
          </w:p>
        </w:tc>
        <w:tc>
          <w:tcPr>
            <w:tcW w:w="2610" w:type="dxa"/>
            <w:tcBorders>
              <w:top w:val="single" w:sz="6" w:space="0" w:color="auto"/>
              <w:bottom w:val="single" w:sz="12" w:space="0" w:color="auto"/>
            </w:tcBorders>
            <w:noWrap/>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16.0 % (10.8 - 21.2)</w:t>
            </w:r>
          </w:p>
        </w:tc>
        <w:tc>
          <w:tcPr>
            <w:tcW w:w="2384" w:type="dxa"/>
            <w:tcBorders>
              <w:top w:val="single" w:sz="6" w:space="0" w:color="auto"/>
              <w:bottom w:val="single" w:sz="12" w:space="0" w:color="auto"/>
            </w:tcBorders>
          </w:tcPr>
          <w:p w:rsidR="000C4979" w:rsidRDefault="00ED6175" w:rsidP="007B511D">
            <w:pPr>
              <w:jc w:val="center"/>
              <w:rPr>
                <w:rFonts w:ascii="Calibri" w:eastAsia="Times New Roman" w:hAnsi="Calibri" w:cs="Times New Roman"/>
                <w:color w:val="000000"/>
              </w:rPr>
            </w:pPr>
            <w:r>
              <w:rPr>
                <w:rFonts w:ascii="Calibri" w:eastAsia="Times New Roman" w:hAnsi="Calibri" w:cs="Times New Roman"/>
                <w:color w:val="000000"/>
              </w:rPr>
              <w:t>17.7%</w:t>
            </w:r>
          </w:p>
        </w:tc>
        <w:tc>
          <w:tcPr>
            <w:tcW w:w="2314" w:type="dxa"/>
            <w:tcBorders>
              <w:top w:val="single" w:sz="6" w:space="0" w:color="auto"/>
              <w:bottom w:val="single" w:sz="12" w:space="0" w:color="auto"/>
            </w:tcBorders>
          </w:tcPr>
          <w:p w:rsidR="000C4979" w:rsidRDefault="000C4979" w:rsidP="007B511D">
            <w:pPr>
              <w:jc w:val="center"/>
              <w:rPr>
                <w:rFonts w:ascii="Calibri" w:eastAsia="Times New Roman" w:hAnsi="Calibri" w:cs="Times New Roman"/>
                <w:color w:val="000000"/>
              </w:rPr>
            </w:pPr>
            <w:r>
              <w:rPr>
                <w:rFonts w:ascii="Calibri" w:eastAsia="Times New Roman" w:hAnsi="Calibri" w:cs="Times New Roman"/>
                <w:color w:val="000000"/>
              </w:rPr>
              <w:t>22.4 %</w:t>
            </w:r>
          </w:p>
        </w:tc>
      </w:tr>
      <w:tr w:rsidR="000C4979" w:rsidRPr="009B3B53" w:rsidTr="007B511D">
        <w:trPr>
          <w:trHeight w:val="300"/>
        </w:trPr>
        <w:tc>
          <w:tcPr>
            <w:tcW w:w="2268" w:type="dxa"/>
            <w:tcBorders>
              <w:top w:val="single" w:sz="12" w:space="0" w:color="auto"/>
            </w:tcBorders>
            <w:noWrap/>
          </w:tcPr>
          <w:p w:rsidR="000C4979" w:rsidRPr="009D7261" w:rsidRDefault="000C4979" w:rsidP="009B3B53">
            <w:pPr>
              <w:rPr>
                <w:rFonts w:ascii="Calibri" w:eastAsia="Times New Roman" w:hAnsi="Calibri" w:cs="Times New Roman"/>
                <w:b/>
                <w:color w:val="000000"/>
              </w:rPr>
            </w:pPr>
            <w:r w:rsidRPr="009D7261">
              <w:rPr>
                <w:rFonts w:ascii="Calibri" w:eastAsia="Times New Roman" w:hAnsi="Calibri" w:cs="Times New Roman"/>
                <w:b/>
                <w:color w:val="000000"/>
              </w:rPr>
              <w:t>Total</w:t>
            </w:r>
          </w:p>
        </w:tc>
        <w:tc>
          <w:tcPr>
            <w:tcW w:w="2610" w:type="dxa"/>
            <w:tcBorders>
              <w:top w:val="single" w:sz="12" w:space="0" w:color="auto"/>
            </w:tcBorders>
            <w:noWrap/>
          </w:tcPr>
          <w:p w:rsidR="000C4979" w:rsidRPr="009D7261" w:rsidRDefault="000C4979" w:rsidP="007B511D">
            <w:pPr>
              <w:jc w:val="center"/>
              <w:rPr>
                <w:rFonts w:ascii="Calibri" w:eastAsia="Times New Roman" w:hAnsi="Calibri" w:cs="Times New Roman"/>
                <w:b/>
                <w:color w:val="000000"/>
              </w:rPr>
            </w:pPr>
            <w:r w:rsidRPr="009D7261">
              <w:rPr>
                <w:rFonts w:ascii="Calibri" w:eastAsia="Times New Roman" w:hAnsi="Calibri" w:cs="Times New Roman"/>
                <w:b/>
                <w:color w:val="000000"/>
              </w:rPr>
              <w:t>31.0</w:t>
            </w:r>
            <w:r>
              <w:rPr>
                <w:rFonts w:ascii="Calibri" w:eastAsia="Times New Roman" w:hAnsi="Calibri" w:cs="Times New Roman"/>
                <w:b/>
                <w:color w:val="000000"/>
              </w:rPr>
              <w:t xml:space="preserve"> </w:t>
            </w:r>
            <w:r w:rsidRPr="009D7261">
              <w:rPr>
                <w:rFonts w:ascii="Calibri" w:eastAsia="Times New Roman" w:hAnsi="Calibri" w:cs="Times New Roman"/>
                <w:b/>
                <w:color w:val="000000"/>
              </w:rPr>
              <w:t>% (28.9</w:t>
            </w:r>
            <w:r>
              <w:rPr>
                <w:rFonts w:ascii="Calibri" w:eastAsia="Times New Roman" w:hAnsi="Calibri" w:cs="Times New Roman"/>
                <w:b/>
                <w:color w:val="000000"/>
              </w:rPr>
              <w:t xml:space="preserve"> </w:t>
            </w:r>
            <w:r w:rsidRPr="009D7261">
              <w:rPr>
                <w:rFonts w:ascii="Calibri" w:eastAsia="Times New Roman" w:hAnsi="Calibri" w:cs="Times New Roman"/>
                <w:b/>
                <w:color w:val="000000"/>
              </w:rPr>
              <w:t>-</w:t>
            </w:r>
            <w:r>
              <w:rPr>
                <w:rFonts w:ascii="Calibri" w:eastAsia="Times New Roman" w:hAnsi="Calibri" w:cs="Times New Roman"/>
                <w:b/>
                <w:color w:val="000000"/>
              </w:rPr>
              <w:t xml:space="preserve"> </w:t>
            </w:r>
            <w:r w:rsidRPr="009D7261">
              <w:rPr>
                <w:rFonts w:ascii="Calibri" w:eastAsia="Times New Roman" w:hAnsi="Calibri" w:cs="Times New Roman"/>
                <w:b/>
                <w:color w:val="000000"/>
              </w:rPr>
              <w:t>32.8)</w:t>
            </w:r>
          </w:p>
        </w:tc>
        <w:tc>
          <w:tcPr>
            <w:tcW w:w="2384" w:type="dxa"/>
            <w:tcBorders>
              <w:top w:val="single" w:sz="12" w:space="0" w:color="auto"/>
            </w:tcBorders>
          </w:tcPr>
          <w:p w:rsidR="000C4979" w:rsidRDefault="00ED6175" w:rsidP="007B511D">
            <w:pPr>
              <w:jc w:val="center"/>
              <w:rPr>
                <w:rFonts w:ascii="Calibri" w:eastAsia="Times New Roman" w:hAnsi="Calibri" w:cs="Times New Roman"/>
                <w:b/>
                <w:color w:val="000000"/>
              </w:rPr>
            </w:pPr>
            <w:r>
              <w:rPr>
                <w:rFonts w:ascii="Calibri" w:eastAsia="Times New Roman" w:hAnsi="Calibri" w:cs="Times New Roman"/>
                <w:b/>
                <w:color w:val="000000"/>
              </w:rPr>
              <w:t>32.8%</w:t>
            </w:r>
          </w:p>
        </w:tc>
        <w:tc>
          <w:tcPr>
            <w:tcW w:w="2314" w:type="dxa"/>
            <w:tcBorders>
              <w:top w:val="single" w:sz="12" w:space="0" w:color="auto"/>
            </w:tcBorders>
          </w:tcPr>
          <w:p w:rsidR="000C4979" w:rsidRPr="009D7261" w:rsidRDefault="000C4979" w:rsidP="007B511D">
            <w:pPr>
              <w:jc w:val="center"/>
              <w:rPr>
                <w:rFonts w:ascii="Calibri" w:eastAsia="Times New Roman" w:hAnsi="Calibri" w:cs="Times New Roman"/>
                <w:b/>
                <w:color w:val="000000"/>
              </w:rPr>
            </w:pPr>
            <w:r>
              <w:rPr>
                <w:rFonts w:ascii="Calibri" w:eastAsia="Times New Roman" w:hAnsi="Calibri" w:cs="Times New Roman"/>
                <w:b/>
                <w:color w:val="000000"/>
              </w:rPr>
              <w:t>30.9 %</w:t>
            </w:r>
          </w:p>
        </w:tc>
      </w:tr>
    </w:tbl>
    <w:p w:rsidR="009D7261" w:rsidRDefault="009D7261" w:rsidP="009D7261">
      <w:pPr>
        <w:rPr>
          <w:sz w:val="18"/>
          <w:szCs w:val="18"/>
        </w:rPr>
      </w:pPr>
      <w:r w:rsidRPr="00E40A1E">
        <w:rPr>
          <w:sz w:val="18"/>
          <w:szCs w:val="18"/>
        </w:rPr>
        <w:t>Source: 2012 Marion County Community Health Assessment Survey (</w:t>
      </w:r>
      <w:r w:rsidR="0071618C">
        <w:rPr>
          <w:sz w:val="18"/>
          <w:szCs w:val="18"/>
        </w:rPr>
        <w:t xml:space="preserve">DR1983; </w:t>
      </w:r>
      <w:r w:rsidRPr="00E40A1E">
        <w:rPr>
          <w:sz w:val="18"/>
          <w:szCs w:val="18"/>
        </w:rPr>
        <w:t>DR2647)</w:t>
      </w:r>
      <w:r w:rsidR="000C4979">
        <w:rPr>
          <w:sz w:val="18"/>
          <w:szCs w:val="18"/>
        </w:rPr>
        <w:t>, BRFSS Survey Data</w:t>
      </w:r>
      <w:r w:rsidRPr="00E40A1E">
        <w:rPr>
          <w:sz w:val="18"/>
          <w:szCs w:val="18"/>
        </w:rPr>
        <w:t>.</w:t>
      </w:r>
    </w:p>
    <w:p w:rsidR="001156A1" w:rsidRDefault="001156A1" w:rsidP="001156A1">
      <w:pPr>
        <w:pStyle w:val="Caption"/>
        <w:keepNext/>
      </w:pPr>
      <w:bookmarkStart w:id="4" w:name="_Ref431474981"/>
      <w:r>
        <w:t xml:space="preserve">Figure </w:t>
      </w:r>
      <w:fldSimple w:instr=" SEQ Figure \* ARABIC ">
        <w:r w:rsidR="006B3D60">
          <w:rPr>
            <w:noProof/>
          </w:rPr>
          <w:t>3</w:t>
        </w:r>
      </w:fldSimple>
      <w:bookmarkEnd w:id="4"/>
      <w:r>
        <w:t>: Prevalence of High Blood Pressure by Race, Marion County, 2012</w:t>
      </w:r>
    </w:p>
    <w:p w:rsidR="00BA42FD" w:rsidRDefault="001156A1" w:rsidP="00B4405C">
      <w:pPr>
        <w:spacing w:before="240" w:line="240" w:lineRule="auto"/>
        <w:rPr>
          <w:sz w:val="18"/>
          <w:szCs w:val="18"/>
        </w:rPr>
      </w:pPr>
      <w:r>
        <w:rPr>
          <w:noProof/>
        </w:rPr>
        <w:drawing>
          <wp:inline distT="0" distB="0" distL="0" distR="0" wp14:anchorId="4100805B" wp14:editId="4B48F029">
            <wp:extent cx="4133850" cy="2400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05C" w:rsidRPr="00E40A1E" w:rsidRDefault="00B4405C" w:rsidP="00B4405C">
      <w:pPr>
        <w:spacing w:before="240" w:line="240" w:lineRule="auto"/>
        <w:rPr>
          <w:sz w:val="18"/>
          <w:szCs w:val="18"/>
        </w:rPr>
      </w:pPr>
      <w:r w:rsidRPr="00B4405C">
        <w:rPr>
          <w:sz w:val="18"/>
          <w:szCs w:val="18"/>
        </w:rPr>
        <w:lastRenderedPageBreak/>
        <w:t>Source: 2012 Marion County Community Health Assessment Survey (DR2647).</w:t>
      </w:r>
    </w:p>
    <w:p w:rsidR="00040114" w:rsidRDefault="00040114" w:rsidP="006211F1">
      <w:pPr>
        <w:pStyle w:val="Caption"/>
        <w:keepNext/>
        <w:rPr>
          <w:color w:val="000000" w:themeColor="text1"/>
          <w:sz w:val="22"/>
          <w:szCs w:val="22"/>
        </w:rPr>
      </w:pPr>
      <w:r w:rsidRPr="00040114">
        <w:rPr>
          <w:color w:val="000000" w:themeColor="text1"/>
          <w:sz w:val="22"/>
          <w:szCs w:val="22"/>
        </w:rPr>
        <w:t>Morbidity:</w:t>
      </w:r>
    </w:p>
    <w:p w:rsidR="008E31D6" w:rsidRPr="008E31D6" w:rsidRDefault="008E31D6" w:rsidP="008E31D6">
      <w:r>
        <w:t xml:space="preserve">The </w:t>
      </w:r>
      <w:r w:rsidR="002D4179">
        <w:t>nation</w:t>
      </w:r>
      <w:r w:rsidR="000567B4">
        <w:t>al</w:t>
      </w:r>
      <w:r w:rsidR="002D4179">
        <w:t xml:space="preserve"> rate of hospitalizations for heart disease</w:t>
      </w:r>
      <w:r w:rsidR="000567B4">
        <w:t xml:space="preserve"> in 2010 was</w:t>
      </w:r>
      <w:r w:rsidR="002D4179">
        <w:t xml:space="preserve"> 21% higher than the Marion County rate of 99.8 per 10,000 population</w:t>
      </w:r>
      <w:r w:rsidR="000567B4">
        <w:t xml:space="preserve"> in 2013</w:t>
      </w:r>
      <w:r w:rsidR="002D4179">
        <w:t xml:space="preserve"> (</w:t>
      </w:r>
      <w:r w:rsidR="002D4179">
        <w:fldChar w:fldCharType="begin"/>
      </w:r>
      <w:r w:rsidR="002D4179">
        <w:instrText xml:space="preserve"> REF _Ref431478297 \h </w:instrText>
      </w:r>
      <w:r w:rsidR="002D4179">
        <w:fldChar w:fldCharType="separate"/>
      </w:r>
      <w:r w:rsidR="006B3D60">
        <w:t xml:space="preserve">Table </w:t>
      </w:r>
      <w:r w:rsidR="006B3D60">
        <w:rPr>
          <w:noProof/>
        </w:rPr>
        <w:t>2</w:t>
      </w:r>
      <w:r w:rsidR="002D4179">
        <w:fldChar w:fldCharType="end"/>
      </w:r>
      <w:r w:rsidR="002D4179">
        <w:t>).</w:t>
      </w:r>
      <w:r w:rsidR="00B03267">
        <w:t xml:space="preserve">  </w:t>
      </w:r>
      <w:r w:rsidR="00F62DE3">
        <w:t>The rate of hospitalizations for essential hypertension was over 2 times higher nationally than it was in Marion County</w:t>
      </w:r>
      <w:r w:rsidR="00390864">
        <w:t xml:space="preserve"> (</w:t>
      </w:r>
      <w:r w:rsidR="00390864">
        <w:fldChar w:fldCharType="begin"/>
      </w:r>
      <w:r w:rsidR="00390864">
        <w:instrText xml:space="preserve"> REF _Ref431478297 \h </w:instrText>
      </w:r>
      <w:r w:rsidR="00390864">
        <w:fldChar w:fldCharType="separate"/>
      </w:r>
      <w:r w:rsidR="006B3D60">
        <w:t xml:space="preserve">Table </w:t>
      </w:r>
      <w:r w:rsidR="006B3D60">
        <w:rPr>
          <w:noProof/>
        </w:rPr>
        <w:t>2</w:t>
      </w:r>
      <w:r w:rsidR="00390864">
        <w:fldChar w:fldCharType="end"/>
      </w:r>
      <w:r w:rsidR="00390864">
        <w:t>)</w:t>
      </w:r>
      <w:r w:rsidR="00F62DE3">
        <w:t>.</w:t>
      </w:r>
    </w:p>
    <w:p w:rsidR="00A203FF" w:rsidRDefault="00A203FF" w:rsidP="00A203FF">
      <w:pPr>
        <w:pStyle w:val="Caption"/>
        <w:keepNext/>
      </w:pPr>
      <w:bookmarkStart w:id="5" w:name="_Ref431478297"/>
      <w:r>
        <w:t xml:space="preserve">Table </w:t>
      </w:r>
      <w:fldSimple w:instr=" SEQ Table \* ARABIC ">
        <w:r w:rsidR="006B3D60">
          <w:rPr>
            <w:noProof/>
          </w:rPr>
          <w:t>2</w:t>
        </w:r>
      </w:fldSimple>
      <w:bookmarkEnd w:id="5"/>
      <w:r>
        <w:t xml:space="preserve">: Marion County and U.S. Hospital Discharges per 10,000 </w:t>
      </w:r>
      <w:proofErr w:type="gramStart"/>
      <w:r>
        <w:t>Population</w:t>
      </w:r>
      <w:proofErr w:type="gramEnd"/>
    </w:p>
    <w:tbl>
      <w:tblPr>
        <w:tblStyle w:val="TableGrid"/>
        <w:tblW w:w="0" w:type="auto"/>
        <w:tblLook w:val="04A0" w:firstRow="1" w:lastRow="0" w:firstColumn="1" w:lastColumn="0" w:noHBand="0" w:noVBand="1"/>
      </w:tblPr>
      <w:tblGrid>
        <w:gridCol w:w="3798"/>
        <w:gridCol w:w="2070"/>
        <w:gridCol w:w="1890"/>
      </w:tblGrid>
      <w:tr w:rsidR="006211F1" w:rsidRPr="0091776F" w:rsidTr="0052050F">
        <w:tc>
          <w:tcPr>
            <w:tcW w:w="3798" w:type="dxa"/>
            <w:shd w:val="clear" w:color="auto" w:fill="8DB3E2" w:themeFill="text2" w:themeFillTint="66"/>
          </w:tcPr>
          <w:p w:rsidR="006211F1" w:rsidRPr="0091776F" w:rsidRDefault="000F114C" w:rsidP="00636FAD">
            <w:pPr>
              <w:rPr>
                <w:b/>
                <w:highlight w:val="yellow"/>
              </w:rPr>
            </w:pPr>
            <w:r>
              <w:rPr>
                <w:rFonts w:ascii="Calibri" w:eastAsia="Times New Roman" w:hAnsi="Calibri" w:cs="Times New Roman"/>
                <w:b/>
                <w:bCs/>
              </w:rPr>
              <w:t xml:space="preserve">Principal </w:t>
            </w:r>
            <w:r w:rsidR="006211F1">
              <w:rPr>
                <w:rFonts w:ascii="Calibri" w:eastAsia="Times New Roman" w:hAnsi="Calibri" w:cs="Times New Roman"/>
                <w:b/>
                <w:bCs/>
              </w:rPr>
              <w:t>Diagnosis</w:t>
            </w:r>
            <w:r w:rsidR="0052050F">
              <w:rPr>
                <w:rFonts w:ascii="Calibri" w:eastAsia="Times New Roman" w:hAnsi="Calibri" w:cs="Times New Roman"/>
                <w:b/>
                <w:bCs/>
              </w:rPr>
              <w:t xml:space="preserve"> </w:t>
            </w:r>
            <w:r w:rsidR="0052050F">
              <w:rPr>
                <w:rFonts w:ascii="Calibri" w:eastAsia="Times New Roman" w:hAnsi="Calibri" w:cs="Times New Roman"/>
                <w:b/>
                <w:bCs/>
                <w:sz w:val="16"/>
                <w:szCs w:val="16"/>
              </w:rPr>
              <w:t>(based on ICD-9</w:t>
            </w:r>
            <w:r w:rsidR="0052050F" w:rsidRPr="0052050F">
              <w:rPr>
                <w:rFonts w:ascii="Calibri" w:eastAsia="Times New Roman" w:hAnsi="Calibri" w:cs="Times New Roman"/>
                <w:b/>
                <w:bCs/>
                <w:sz w:val="16"/>
                <w:szCs w:val="16"/>
              </w:rPr>
              <w:t>)</w:t>
            </w:r>
          </w:p>
        </w:tc>
        <w:tc>
          <w:tcPr>
            <w:tcW w:w="2070" w:type="dxa"/>
            <w:shd w:val="clear" w:color="auto" w:fill="8DB3E2" w:themeFill="text2" w:themeFillTint="66"/>
          </w:tcPr>
          <w:p w:rsidR="006211F1" w:rsidRPr="0091776F" w:rsidRDefault="006211F1" w:rsidP="00E40A0B">
            <w:pPr>
              <w:jc w:val="center"/>
              <w:rPr>
                <w:b/>
                <w:highlight w:val="yellow"/>
              </w:rPr>
            </w:pPr>
            <w:r>
              <w:rPr>
                <w:b/>
              </w:rPr>
              <w:t>Marion County, 2013</w:t>
            </w:r>
          </w:p>
        </w:tc>
        <w:tc>
          <w:tcPr>
            <w:tcW w:w="1890" w:type="dxa"/>
            <w:shd w:val="clear" w:color="auto" w:fill="8DB3E2" w:themeFill="text2" w:themeFillTint="66"/>
          </w:tcPr>
          <w:p w:rsidR="006211F1" w:rsidRDefault="006211F1" w:rsidP="00E40A0B">
            <w:pPr>
              <w:jc w:val="center"/>
              <w:rPr>
                <w:b/>
              </w:rPr>
            </w:pPr>
            <w:r>
              <w:rPr>
                <w:b/>
              </w:rPr>
              <w:t>U.S., 2010</w:t>
            </w:r>
          </w:p>
        </w:tc>
      </w:tr>
      <w:tr w:rsidR="006211F1" w:rsidRPr="009B3B53" w:rsidTr="0052050F">
        <w:trPr>
          <w:trHeight w:val="300"/>
        </w:trPr>
        <w:tc>
          <w:tcPr>
            <w:tcW w:w="3798" w:type="dxa"/>
            <w:noWrap/>
          </w:tcPr>
          <w:p w:rsidR="0052050F" w:rsidRDefault="006211F1" w:rsidP="00636FAD">
            <w:pPr>
              <w:rPr>
                <w:rFonts w:ascii="Calibri" w:eastAsia="Times New Roman" w:hAnsi="Calibri" w:cs="Times New Roman"/>
                <w:bCs/>
                <w:color w:val="000000"/>
              </w:rPr>
            </w:pPr>
            <w:r w:rsidRPr="00E40A0B">
              <w:rPr>
                <w:rFonts w:ascii="Calibri" w:eastAsia="Times New Roman" w:hAnsi="Calibri" w:cs="Times New Roman"/>
                <w:bCs/>
                <w:color w:val="000000"/>
              </w:rPr>
              <w:t>Heart Disease</w:t>
            </w:r>
          </w:p>
          <w:p w:rsidR="006211F1" w:rsidRPr="009B3B53" w:rsidRDefault="0052050F" w:rsidP="00636FAD">
            <w:pPr>
              <w:rPr>
                <w:rFonts w:ascii="Calibri" w:eastAsia="Times New Roman" w:hAnsi="Calibri" w:cs="Times New Roman"/>
                <w:bCs/>
                <w:color w:val="000000"/>
              </w:rPr>
            </w:pPr>
            <w:r>
              <w:rPr>
                <w:rFonts w:ascii="Calibri" w:eastAsia="Times New Roman" w:hAnsi="Calibri" w:cs="Times New Roman"/>
                <w:bCs/>
                <w:color w:val="000000"/>
              </w:rPr>
              <w:t xml:space="preserve"> </w:t>
            </w:r>
            <w:r w:rsidRPr="0052050F">
              <w:rPr>
                <w:rFonts w:ascii="Calibri" w:eastAsia="Times New Roman" w:hAnsi="Calibri" w:cs="Times New Roman"/>
                <w:bCs/>
                <w:color w:val="000000"/>
                <w:sz w:val="16"/>
                <w:szCs w:val="16"/>
              </w:rPr>
              <w:t>(391-392.0, 393-398, 402, 404, 410-416, 420-429)</w:t>
            </w:r>
          </w:p>
        </w:tc>
        <w:tc>
          <w:tcPr>
            <w:tcW w:w="2070" w:type="dxa"/>
            <w:noWrap/>
          </w:tcPr>
          <w:p w:rsidR="006211F1" w:rsidRPr="009B3B53" w:rsidRDefault="006211F1" w:rsidP="00E40A0B">
            <w:pPr>
              <w:jc w:val="center"/>
              <w:rPr>
                <w:rFonts w:ascii="Calibri" w:eastAsia="Times New Roman" w:hAnsi="Calibri" w:cs="Times New Roman"/>
                <w:bCs/>
                <w:color w:val="000000"/>
              </w:rPr>
            </w:pPr>
            <w:r w:rsidRPr="00E40A0B">
              <w:rPr>
                <w:rFonts w:ascii="Calibri" w:eastAsia="Times New Roman" w:hAnsi="Calibri" w:cs="Times New Roman"/>
                <w:bCs/>
                <w:color w:val="000000"/>
              </w:rPr>
              <w:t>99.8</w:t>
            </w:r>
          </w:p>
        </w:tc>
        <w:tc>
          <w:tcPr>
            <w:tcW w:w="1890" w:type="dxa"/>
          </w:tcPr>
          <w:p w:rsidR="006211F1" w:rsidRPr="006211F1" w:rsidRDefault="006211F1" w:rsidP="006211F1">
            <w:pPr>
              <w:jc w:val="center"/>
              <w:rPr>
                <w:rFonts w:ascii="Calibri" w:eastAsia="Times New Roman" w:hAnsi="Calibri" w:cs="Times New Roman"/>
                <w:bCs/>
                <w:color w:val="000000"/>
              </w:rPr>
            </w:pPr>
            <w:r w:rsidRPr="006211F1">
              <w:rPr>
                <w:rFonts w:ascii="Calibri" w:eastAsia="Times New Roman" w:hAnsi="Calibri" w:cs="Times New Roman"/>
                <w:bCs/>
                <w:color w:val="000000"/>
              </w:rPr>
              <w:t>121.0</w:t>
            </w:r>
          </w:p>
        </w:tc>
      </w:tr>
      <w:tr w:rsidR="006211F1" w:rsidRPr="009B3B53" w:rsidTr="0052050F">
        <w:trPr>
          <w:trHeight w:val="300"/>
        </w:trPr>
        <w:tc>
          <w:tcPr>
            <w:tcW w:w="3798" w:type="dxa"/>
            <w:noWrap/>
          </w:tcPr>
          <w:p w:rsidR="006211F1" w:rsidRDefault="006211F1" w:rsidP="00636FAD">
            <w:pPr>
              <w:rPr>
                <w:rFonts w:ascii="Calibri" w:eastAsia="Times New Roman" w:hAnsi="Calibri" w:cs="Times New Roman"/>
                <w:color w:val="000000"/>
              </w:rPr>
            </w:pPr>
            <w:r>
              <w:rPr>
                <w:rFonts w:ascii="Calibri" w:eastAsia="Times New Roman" w:hAnsi="Calibri" w:cs="Times New Roman"/>
                <w:color w:val="000000"/>
              </w:rPr>
              <w:t>Cerebrovascular Disease</w:t>
            </w:r>
          </w:p>
          <w:p w:rsidR="0052050F" w:rsidRPr="009B3B53" w:rsidRDefault="0052050F" w:rsidP="00636FAD">
            <w:pPr>
              <w:rPr>
                <w:rFonts w:ascii="Calibri" w:eastAsia="Times New Roman" w:hAnsi="Calibri" w:cs="Times New Roman"/>
                <w:color w:val="000000"/>
                <w:sz w:val="16"/>
                <w:szCs w:val="16"/>
              </w:rPr>
            </w:pPr>
            <w:r w:rsidRPr="0052050F">
              <w:rPr>
                <w:rFonts w:ascii="Calibri" w:eastAsia="Times New Roman" w:hAnsi="Calibri" w:cs="Times New Roman"/>
                <w:color w:val="000000"/>
                <w:sz w:val="16"/>
                <w:szCs w:val="16"/>
              </w:rPr>
              <w:t>(430-438)</w:t>
            </w:r>
          </w:p>
        </w:tc>
        <w:tc>
          <w:tcPr>
            <w:tcW w:w="2070" w:type="dxa"/>
            <w:noWrap/>
          </w:tcPr>
          <w:p w:rsidR="006211F1" w:rsidRPr="009B3B53" w:rsidRDefault="006211F1" w:rsidP="00E40A0B">
            <w:pPr>
              <w:jc w:val="center"/>
              <w:rPr>
                <w:rFonts w:ascii="Calibri" w:eastAsia="Times New Roman" w:hAnsi="Calibri" w:cs="Times New Roman"/>
                <w:color w:val="000000"/>
              </w:rPr>
            </w:pPr>
            <w:r>
              <w:rPr>
                <w:rFonts w:ascii="Calibri" w:eastAsia="Times New Roman" w:hAnsi="Calibri" w:cs="Times New Roman"/>
                <w:color w:val="000000"/>
              </w:rPr>
              <w:t>29.2</w:t>
            </w:r>
          </w:p>
        </w:tc>
        <w:tc>
          <w:tcPr>
            <w:tcW w:w="1890" w:type="dxa"/>
          </w:tcPr>
          <w:p w:rsidR="006211F1" w:rsidRPr="009B3B53" w:rsidRDefault="006211F1" w:rsidP="006211F1">
            <w:pPr>
              <w:jc w:val="center"/>
              <w:rPr>
                <w:rFonts w:ascii="Calibri" w:eastAsia="Times New Roman" w:hAnsi="Calibri" w:cs="Times New Roman"/>
                <w:color w:val="000000"/>
              </w:rPr>
            </w:pPr>
            <w:r>
              <w:rPr>
                <w:rFonts w:ascii="Calibri" w:eastAsia="Times New Roman" w:hAnsi="Calibri" w:cs="Times New Roman"/>
                <w:color w:val="000000"/>
              </w:rPr>
              <w:t>33.0</w:t>
            </w:r>
          </w:p>
        </w:tc>
      </w:tr>
      <w:tr w:rsidR="006211F1" w:rsidRPr="009B3B53" w:rsidTr="0052050F">
        <w:trPr>
          <w:trHeight w:val="300"/>
        </w:trPr>
        <w:tc>
          <w:tcPr>
            <w:tcW w:w="3798" w:type="dxa"/>
            <w:noWrap/>
          </w:tcPr>
          <w:p w:rsidR="006211F1" w:rsidRDefault="006211F1" w:rsidP="00636FAD">
            <w:pPr>
              <w:rPr>
                <w:rFonts w:ascii="Calibri" w:eastAsia="Times New Roman" w:hAnsi="Calibri" w:cs="Times New Roman"/>
                <w:color w:val="000000"/>
              </w:rPr>
            </w:pPr>
            <w:r>
              <w:rPr>
                <w:rFonts w:ascii="Calibri" w:eastAsia="Times New Roman" w:hAnsi="Calibri" w:cs="Times New Roman"/>
                <w:color w:val="000000"/>
              </w:rPr>
              <w:t>Essential Hypertension</w:t>
            </w:r>
          </w:p>
          <w:p w:rsidR="0052050F" w:rsidRPr="009B3B53" w:rsidRDefault="0052050F" w:rsidP="00636FAD">
            <w:pPr>
              <w:rPr>
                <w:rFonts w:ascii="Calibri" w:eastAsia="Times New Roman" w:hAnsi="Calibri" w:cs="Times New Roman"/>
                <w:color w:val="000000"/>
                <w:sz w:val="16"/>
                <w:szCs w:val="16"/>
              </w:rPr>
            </w:pPr>
            <w:r w:rsidRPr="0052050F">
              <w:rPr>
                <w:rFonts w:ascii="Calibri" w:eastAsia="Times New Roman" w:hAnsi="Calibri" w:cs="Times New Roman"/>
                <w:color w:val="000000"/>
                <w:sz w:val="16"/>
                <w:szCs w:val="16"/>
              </w:rPr>
              <w:t>(401)</w:t>
            </w:r>
          </w:p>
        </w:tc>
        <w:tc>
          <w:tcPr>
            <w:tcW w:w="2070" w:type="dxa"/>
            <w:noWrap/>
          </w:tcPr>
          <w:p w:rsidR="006211F1" w:rsidRPr="009B3B53" w:rsidRDefault="006211F1" w:rsidP="00E40A0B">
            <w:pPr>
              <w:jc w:val="center"/>
              <w:rPr>
                <w:rFonts w:ascii="Calibri" w:eastAsia="Times New Roman" w:hAnsi="Calibri" w:cs="Times New Roman"/>
                <w:color w:val="000000"/>
              </w:rPr>
            </w:pPr>
            <w:r>
              <w:rPr>
                <w:rFonts w:ascii="Calibri" w:eastAsia="Times New Roman" w:hAnsi="Calibri" w:cs="Times New Roman"/>
                <w:color w:val="000000"/>
              </w:rPr>
              <w:t>4.1</w:t>
            </w:r>
          </w:p>
        </w:tc>
        <w:tc>
          <w:tcPr>
            <w:tcW w:w="1890" w:type="dxa"/>
          </w:tcPr>
          <w:p w:rsidR="006211F1" w:rsidRPr="009B3B53" w:rsidRDefault="006211F1" w:rsidP="006211F1">
            <w:pPr>
              <w:jc w:val="center"/>
              <w:rPr>
                <w:rFonts w:ascii="Calibri" w:eastAsia="Times New Roman" w:hAnsi="Calibri" w:cs="Times New Roman"/>
                <w:color w:val="000000"/>
              </w:rPr>
            </w:pPr>
            <w:r>
              <w:rPr>
                <w:rFonts w:ascii="Calibri" w:eastAsia="Times New Roman" w:hAnsi="Calibri" w:cs="Times New Roman"/>
                <w:color w:val="000000"/>
              </w:rPr>
              <w:t>9.1</w:t>
            </w:r>
          </w:p>
        </w:tc>
      </w:tr>
      <w:tr w:rsidR="006211F1" w:rsidRPr="009B3B53" w:rsidTr="0052050F">
        <w:trPr>
          <w:trHeight w:val="300"/>
        </w:trPr>
        <w:tc>
          <w:tcPr>
            <w:tcW w:w="3798" w:type="dxa"/>
            <w:noWrap/>
          </w:tcPr>
          <w:p w:rsidR="006211F1" w:rsidRDefault="006211F1" w:rsidP="00636FAD">
            <w:pPr>
              <w:rPr>
                <w:rFonts w:ascii="Calibri" w:eastAsia="Times New Roman" w:hAnsi="Calibri" w:cs="Times New Roman"/>
                <w:color w:val="000000"/>
              </w:rPr>
            </w:pPr>
            <w:r>
              <w:rPr>
                <w:rFonts w:ascii="Calibri" w:eastAsia="Times New Roman" w:hAnsi="Calibri" w:cs="Times New Roman"/>
                <w:color w:val="000000"/>
              </w:rPr>
              <w:t>Chronic Kidney Disease</w:t>
            </w:r>
          </w:p>
          <w:p w:rsidR="0052050F" w:rsidRPr="009B3B53" w:rsidRDefault="0052050F" w:rsidP="00636FAD">
            <w:pPr>
              <w:rPr>
                <w:rFonts w:ascii="Calibri" w:eastAsia="Times New Roman" w:hAnsi="Calibri" w:cs="Times New Roman"/>
                <w:color w:val="000000"/>
                <w:sz w:val="16"/>
                <w:szCs w:val="16"/>
              </w:rPr>
            </w:pPr>
            <w:r w:rsidRPr="0052050F">
              <w:rPr>
                <w:rFonts w:ascii="Calibri" w:eastAsia="Times New Roman" w:hAnsi="Calibri" w:cs="Times New Roman"/>
                <w:color w:val="000000"/>
                <w:sz w:val="16"/>
                <w:szCs w:val="16"/>
              </w:rPr>
              <w:t>(580-589)</w:t>
            </w:r>
          </w:p>
        </w:tc>
        <w:tc>
          <w:tcPr>
            <w:tcW w:w="2070" w:type="dxa"/>
            <w:noWrap/>
          </w:tcPr>
          <w:p w:rsidR="006211F1" w:rsidRPr="009B3B53" w:rsidRDefault="006211F1" w:rsidP="00E40A0B">
            <w:pPr>
              <w:jc w:val="center"/>
              <w:rPr>
                <w:rFonts w:ascii="Calibri" w:eastAsia="Times New Roman" w:hAnsi="Calibri" w:cs="Times New Roman"/>
                <w:color w:val="000000"/>
              </w:rPr>
            </w:pPr>
            <w:r>
              <w:rPr>
                <w:rFonts w:ascii="Calibri" w:eastAsia="Times New Roman" w:hAnsi="Calibri" w:cs="Times New Roman"/>
                <w:color w:val="000000"/>
              </w:rPr>
              <w:t>20.0</w:t>
            </w:r>
          </w:p>
        </w:tc>
        <w:tc>
          <w:tcPr>
            <w:tcW w:w="1890" w:type="dxa"/>
          </w:tcPr>
          <w:p w:rsidR="006211F1" w:rsidRPr="009B3B53" w:rsidRDefault="006E156E" w:rsidP="006211F1">
            <w:pPr>
              <w:jc w:val="center"/>
              <w:rPr>
                <w:rFonts w:ascii="Calibri" w:eastAsia="Times New Roman" w:hAnsi="Calibri" w:cs="Times New Roman"/>
                <w:color w:val="000000"/>
              </w:rPr>
            </w:pPr>
            <w:r>
              <w:rPr>
                <w:rFonts w:ascii="Calibri" w:eastAsia="Times New Roman" w:hAnsi="Calibri" w:cs="Times New Roman"/>
                <w:color w:val="000000"/>
              </w:rPr>
              <w:t>NA</w:t>
            </w:r>
          </w:p>
        </w:tc>
      </w:tr>
    </w:tbl>
    <w:p w:rsidR="009B3B53" w:rsidRDefault="006211F1" w:rsidP="005D0753">
      <w:pPr>
        <w:spacing w:line="240" w:lineRule="auto"/>
        <w:rPr>
          <w:sz w:val="18"/>
          <w:szCs w:val="18"/>
        </w:rPr>
      </w:pPr>
      <w:r w:rsidRPr="00160976">
        <w:rPr>
          <w:sz w:val="18"/>
          <w:szCs w:val="18"/>
        </w:rPr>
        <w:t>Sources:</w:t>
      </w:r>
      <w:r w:rsidR="00601981">
        <w:rPr>
          <w:sz w:val="18"/>
          <w:szCs w:val="18"/>
        </w:rPr>
        <w:t xml:space="preserve"> </w:t>
      </w:r>
      <w:r w:rsidR="00160976" w:rsidRPr="00160976">
        <w:rPr>
          <w:sz w:val="18"/>
          <w:szCs w:val="18"/>
        </w:rPr>
        <w:t xml:space="preserve"> CDC/NCHS National Hospital Discharge Survey, 2010</w:t>
      </w:r>
      <w:r w:rsidR="001E577A">
        <w:rPr>
          <w:sz w:val="18"/>
          <w:szCs w:val="18"/>
        </w:rPr>
        <w:t xml:space="preserve">; </w:t>
      </w:r>
      <w:r w:rsidR="00601981">
        <w:rPr>
          <w:sz w:val="18"/>
          <w:szCs w:val="18"/>
        </w:rPr>
        <w:t xml:space="preserve">Marion County Hospital Discharge data (DR2647). </w:t>
      </w:r>
      <w:proofErr w:type="gramStart"/>
      <w:r w:rsidR="001E577A">
        <w:rPr>
          <w:sz w:val="18"/>
          <w:szCs w:val="18"/>
        </w:rPr>
        <w:t>U.S. Census Bureau</w:t>
      </w:r>
      <w:r w:rsidR="00160976" w:rsidRPr="00160976">
        <w:rPr>
          <w:sz w:val="18"/>
          <w:szCs w:val="18"/>
        </w:rPr>
        <w:t>.</w:t>
      </w:r>
      <w:proofErr w:type="gramEnd"/>
      <w:r w:rsidR="009928FD">
        <w:rPr>
          <w:sz w:val="18"/>
          <w:szCs w:val="18"/>
        </w:rPr>
        <w:t xml:space="preserve">  Both U.S. and Marion County rates are unadjusted.</w:t>
      </w:r>
      <w:r w:rsidR="00B03267">
        <w:rPr>
          <w:sz w:val="18"/>
          <w:szCs w:val="18"/>
        </w:rPr>
        <w:t xml:space="preserve"> The hospitalization rate for chronic kidney disease was not available at the national level.</w:t>
      </w:r>
      <w:r w:rsidR="00232FD9">
        <w:rPr>
          <w:sz w:val="18"/>
          <w:szCs w:val="18"/>
        </w:rPr>
        <w:tab/>
      </w:r>
    </w:p>
    <w:p w:rsidR="00BF4051" w:rsidRPr="00BF4051" w:rsidRDefault="00BF4051" w:rsidP="00BF4051">
      <w:pPr>
        <w:rPr>
          <w:b/>
          <w:color w:val="000000" w:themeColor="text1"/>
        </w:rPr>
      </w:pPr>
      <w:r w:rsidRPr="00BF4051">
        <w:rPr>
          <w:b/>
          <w:color w:val="000000" w:themeColor="text1"/>
        </w:rPr>
        <w:t>Mortality:</w:t>
      </w:r>
    </w:p>
    <w:p w:rsidR="002B150A" w:rsidRPr="00FD6A57" w:rsidRDefault="002B150A" w:rsidP="00A203FF">
      <w:r>
        <w:t>The</w:t>
      </w:r>
      <w:r w:rsidR="00A203FF">
        <w:t xml:space="preserve"> age-adjusted</w:t>
      </w:r>
      <w:r>
        <w:t xml:space="preserve"> </w:t>
      </w:r>
      <w:r w:rsidR="00A203FF">
        <w:t>death rate</w:t>
      </w:r>
      <w:r>
        <w:t xml:space="preserve"> </w:t>
      </w:r>
      <w:r w:rsidR="00A203FF">
        <w:t>for</w:t>
      </w:r>
      <w:r>
        <w:t xml:space="preserve"> heart disease in Marion</w:t>
      </w:r>
      <w:r w:rsidR="00A203FF">
        <w:t xml:space="preserve"> County</w:t>
      </w:r>
      <w:r>
        <w:t xml:space="preserve"> </w:t>
      </w:r>
      <w:r w:rsidR="00A203FF">
        <w:t>was 191.5</w:t>
      </w:r>
      <w:r w:rsidR="00F922D8">
        <w:t xml:space="preserve"> per 100,000 popul</w:t>
      </w:r>
      <w:r w:rsidR="00A203FF">
        <w:t>ation in 2013, 13% higher</w:t>
      </w:r>
      <w:r w:rsidR="00F922D8">
        <w:t xml:space="preserve"> than the national</w:t>
      </w:r>
      <w:r w:rsidR="00A203FF">
        <w:t xml:space="preserve"> rate of 169.8</w:t>
      </w:r>
      <w:r w:rsidR="00F922D8">
        <w:t xml:space="preserve"> per 100,000 </w:t>
      </w:r>
      <w:r w:rsidR="00A203FF">
        <w:t>(</w:t>
      </w:r>
      <w:r w:rsidR="00A203FF">
        <w:fldChar w:fldCharType="begin"/>
      </w:r>
      <w:r w:rsidR="00A203FF">
        <w:instrText xml:space="preserve"> REF _Ref431475622 \h </w:instrText>
      </w:r>
      <w:r w:rsidR="00A203FF">
        <w:fldChar w:fldCharType="separate"/>
      </w:r>
      <w:r w:rsidR="006B3D60">
        <w:t xml:space="preserve">Table </w:t>
      </w:r>
      <w:r w:rsidR="006B3D60">
        <w:rPr>
          <w:noProof/>
        </w:rPr>
        <w:t>3</w:t>
      </w:r>
      <w:r w:rsidR="00A203FF">
        <w:fldChar w:fldCharType="end"/>
      </w:r>
      <w:r w:rsidR="00A203FF">
        <w:t>)</w:t>
      </w:r>
      <w:r w:rsidR="00F922D8">
        <w:t>.</w:t>
      </w:r>
      <w:r w:rsidR="00A203FF">
        <w:t xml:space="preserve">  The mortality rates for cerebrovascular disease and essential hypertension in Marion County were </w:t>
      </w:r>
      <w:r w:rsidR="00C144F5">
        <w:t>similar to</w:t>
      </w:r>
      <w:r w:rsidR="00A203FF">
        <w:t xml:space="preserve"> the national rates (</w:t>
      </w:r>
      <w:r w:rsidR="00A203FF">
        <w:fldChar w:fldCharType="begin"/>
      </w:r>
      <w:r w:rsidR="00A203FF">
        <w:instrText xml:space="preserve"> REF _Ref431475622 \h </w:instrText>
      </w:r>
      <w:r w:rsidR="00A203FF">
        <w:fldChar w:fldCharType="separate"/>
      </w:r>
      <w:r w:rsidR="006B3D60">
        <w:t xml:space="preserve">Table </w:t>
      </w:r>
      <w:r w:rsidR="006B3D60">
        <w:rPr>
          <w:noProof/>
        </w:rPr>
        <w:t>3</w:t>
      </w:r>
      <w:r w:rsidR="00A203FF">
        <w:fldChar w:fldCharType="end"/>
      </w:r>
      <w:r w:rsidR="00A203FF">
        <w:t xml:space="preserve">).  </w:t>
      </w:r>
      <w:r w:rsidRPr="002B150A">
        <w:t xml:space="preserve">The </w:t>
      </w:r>
      <w:r w:rsidR="000F2138">
        <w:t>death rate</w:t>
      </w:r>
      <w:r w:rsidRPr="002B150A">
        <w:t xml:space="preserve"> from </w:t>
      </w:r>
      <w:r w:rsidR="000F2138">
        <w:t xml:space="preserve">chronic kidney disease in Marion County was 57% higher </w:t>
      </w:r>
      <w:r w:rsidR="00C144F5">
        <w:t xml:space="preserve">at </w:t>
      </w:r>
      <w:r w:rsidR="000F2138">
        <w:t>20</w:t>
      </w:r>
      <w:r w:rsidRPr="002B150A">
        <w:t>.7</w:t>
      </w:r>
      <w:r w:rsidR="000F2138">
        <w:t xml:space="preserve"> deaths per 100,000 </w:t>
      </w:r>
      <w:proofErr w:type="gramStart"/>
      <w:r w:rsidRPr="002B150A">
        <w:t>population</w:t>
      </w:r>
      <w:proofErr w:type="gramEnd"/>
      <w:r w:rsidR="000F2138">
        <w:t xml:space="preserve"> than the national rate</w:t>
      </w:r>
      <w:r w:rsidRPr="002B150A">
        <w:t xml:space="preserve"> rate of </w:t>
      </w:r>
      <w:r w:rsidR="000F2138">
        <w:t>13.2</w:t>
      </w:r>
      <w:r w:rsidRPr="002B150A">
        <w:t xml:space="preserve"> per 100,000</w:t>
      </w:r>
      <w:r w:rsidR="000F2138">
        <w:t xml:space="preserve"> </w:t>
      </w:r>
      <w:r w:rsidR="00EA3264">
        <w:t>(</w:t>
      </w:r>
      <w:r w:rsidR="00EA3264">
        <w:fldChar w:fldCharType="begin"/>
      </w:r>
      <w:r w:rsidR="00EA3264">
        <w:instrText xml:space="preserve"> REF _Ref431475622 \h </w:instrText>
      </w:r>
      <w:r w:rsidR="00EA3264">
        <w:fldChar w:fldCharType="separate"/>
      </w:r>
      <w:r w:rsidR="006B3D60">
        <w:t xml:space="preserve">Table </w:t>
      </w:r>
      <w:r w:rsidR="006B3D60">
        <w:rPr>
          <w:noProof/>
        </w:rPr>
        <w:t>3</w:t>
      </w:r>
      <w:r w:rsidR="00EA3264">
        <w:fldChar w:fldCharType="end"/>
      </w:r>
      <w:r w:rsidR="00EA3264">
        <w:t>)</w:t>
      </w:r>
      <w:r w:rsidRPr="002B150A">
        <w:t>.</w:t>
      </w:r>
    </w:p>
    <w:p w:rsidR="001F2D19" w:rsidRDefault="001F2D19" w:rsidP="001F2D19">
      <w:pPr>
        <w:pStyle w:val="Caption"/>
        <w:keepNext/>
      </w:pPr>
      <w:bookmarkStart w:id="6" w:name="_Ref431475622"/>
      <w:r>
        <w:t xml:space="preserve">Table </w:t>
      </w:r>
      <w:fldSimple w:instr=" SEQ Table \* ARABIC ">
        <w:r w:rsidR="006B3D60">
          <w:rPr>
            <w:noProof/>
          </w:rPr>
          <w:t>3</w:t>
        </w:r>
      </w:fldSimple>
      <w:bookmarkEnd w:id="6"/>
      <w:r>
        <w:t xml:space="preserve">: Marion County and U.S. Age-Adjusted Death Rates by Cause per 100,000 </w:t>
      </w:r>
      <w:proofErr w:type="gramStart"/>
      <w:r>
        <w:t>Population</w:t>
      </w:r>
      <w:proofErr w:type="gramEnd"/>
      <w:r>
        <w:t>, 2013.</w:t>
      </w:r>
    </w:p>
    <w:tbl>
      <w:tblPr>
        <w:tblStyle w:val="TableGrid"/>
        <w:tblW w:w="0" w:type="auto"/>
        <w:tblLook w:val="04A0" w:firstRow="1" w:lastRow="0" w:firstColumn="1" w:lastColumn="0" w:noHBand="0" w:noVBand="1"/>
      </w:tblPr>
      <w:tblGrid>
        <w:gridCol w:w="3798"/>
        <w:gridCol w:w="2070"/>
        <w:gridCol w:w="1890"/>
      </w:tblGrid>
      <w:tr w:rsidR="004D2676" w:rsidTr="000428A0">
        <w:tc>
          <w:tcPr>
            <w:tcW w:w="3798" w:type="dxa"/>
            <w:shd w:val="clear" w:color="auto" w:fill="8DB3E2" w:themeFill="text2" w:themeFillTint="66"/>
          </w:tcPr>
          <w:p w:rsidR="004D2676" w:rsidRPr="0091776F" w:rsidRDefault="007552AD" w:rsidP="000428A0">
            <w:pPr>
              <w:rPr>
                <w:b/>
                <w:highlight w:val="yellow"/>
              </w:rPr>
            </w:pPr>
            <w:r>
              <w:rPr>
                <w:rFonts w:ascii="Calibri" w:eastAsia="Times New Roman" w:hAnsi="Calibri" w:cs="Times New Roman"/>
                <w:b/>
                <w:bCs/>
              </w:rPr>
              <w:t xml:space="preserve">Primary </w:t>
            </w:r>
            <w:r w:rsidR="000428A0">
              <w:rPr>
                <w:rFonts w:ascii="Calibri" w:eastAsia="Times New Roman" w:hAnsi="Calibri" w:cs="Times New Roman"/>
                <w:b/>
                <w:bCs/>
              </w:rPr>
              <w:t xml:space="preserve">Cause of Death </w:t>
            </w:r>
            <w:r w:rsidR="000428A0" w:rsidRPr="000428A0">
              <w:rPr>
                <w:rFonts w:ascii="Calibri" w:eastAsia="Times New Roman" w:hAnsi="Calibri" w:cs="Times New Roman"/>
                <w:b/>
                <w:bCs/>
                <w:sz w:val="16"/>
                <w:szCs w:val="16"/>
              </w:rPr>
              <w:t>(based on ICD-</w:t>
            </w:r>
            <w:r w:rsidR="000428A0">
              <w:rPr>
                <w:rFonts w:ascii="Calibri" w:eastAsia="Times New Roman" w:hAnsi="Calibri" w:cs="Times New Roman"/>
                <w:b/>
                <w:bCs/>
                <w:sz w:val="16"/>
                <w:szCs w:val="16"/>
              </w:rPr>
              <w:t>1</w:t>
            </w:r>
            <w:r w:rsidR="000428A0" w:rsidRPr="000428A0">
              <w:rPr>
                <w:rFonts w:ascii="Calibri" w:eastAsia="Times New Roman" w:hAnsi="Calibri" w:cs="Times New Roman"/>
                <w:b/>
                <w:bCs/>
                <w:sz w:val="16"/>
                <w:szCs w:val="16"/>
              </w:rPr>
              <w:t>0)</w:t>
            </w:r>
          </w:p>
        </w:tc>
        <w:tc>
          <w:tcPr>
            <w:tcW w:w="2070" w:type="dxa"/>
            <w:shd w:val="clear" w:color="auto" w:fill="8DB3E2" w:themeFill="text2" w:themeFillTint="66"/>
          </w:tcPr>
          <w:p w:rsidR="004D2676" w:rsidRPr="0091776F" w:rsidRDefault="004D2676" w:rsidP="00636FAD">
            <w:pPr>
              <w:jc w:val="center"/>
              <w:rPr>
                <w:b/>
                <w:highlight w:val="yellow"/>
              </w:rPr>
            </w:pPr>
            <w:r>
              <w:rPr>
                <w:b/>
              </w:rPr>
              <w:t>Marion County</w:t>
            </w:r>
          </w:p>
        </w:tc>
        <w:tc>
          <w:tcPr>
            <w:tcW w:w="1890" w:type="dxa"/>
            <w:shd w:val="clear" w:color="auto" w:fill="8DB3E2" w:themeFill="text2" w:themeFillTint="66"/>
          </w:tcPr>
          <w:p w:rsidR="004D2676" w:rsidRDefault="004D2676" w:rsidP="00636FAD">
            <w:pPr>
              <w:jc w:val="center"/>
              <w:rPr>
                <w:b/>
              </w:rPr>
            </w:pPr>
            <w:r>
              <w:rPr>
                <w:b/>
              </w:rPr>
              <w:t>U.S.</w:t>
            </w:r>
          </w:p>
        </w:tc>
      </w:tr>
      <w:tr w:rsidR="004D2676" w:rsidRPr="006211F1" w:rsidTr="000428A0">
        <w:trPr>
          <w:trHeight w:val="300"/>
        </w:trPr>
        <w:tc>
          <w:tcPr>
            <w:tcW w:w="3798" w:type="dxa"/>
            <w:noWrap/>
          </w:tcPr>
          <w:p w:rsidR="0052050F" w:rsidRDefault="004D2676" w:rsidP="00636FAD">
            <w:pPr>
              <w:rPr>
                <w:rFonts w:ascii="Calibri" w:eastAsia="Times New Roman" w:hAnsi="Calibri" w:cs="Times New Roman"/>
                <w:bCs/>
                <w:color w:val="000000"/>
              </w:rPr>
            </w:pPr>
            <w:r w:rsidRPr="00E40A0B">
              <w:rPr>
                <w:rFonts w:ascii="Calibri" w:eastAsia="Times New Roman" w:hAnsi="Calibri" w:cs="Times New Roman"/>
                <w:bCs/>
                <w:color w:val="000000"/>
              </w:rPr>
              <w:t>Heart Disease</w:t>
            </w:r>
          </w:p>
          <w:p w:rsidR="004D2676" w:rsidRPr="009B3B53" w:rsidRDefault="000428A0" w:rsidP="00636FAD">
            <w:pPr>
              <w:rPr>
                <w:rFonts w:ascii="Calibri" w:eastAsia="Times New Roman" w:hAnsi="Calibri" w:cs="Times New Roman"/>
                <w:bCs/>
                <w:color w:val="000000"/>
              </w:rPr>
            </w:pPr>
            <w:r>
              <w:rPr>
                <w:rFonts w:ascii="Calibri" w:eastAsia="Times New Roman" w:hAnsi="Calibri" w:cs="Times New Roman"/>
                <w:bCs/>
                <w:color w:val="000000"/>
                <w:sz w:val="16"/>
                <w:szCs w:val="16"/>
              </w:rPr>
              <w:t>(I00-I09,I11,I13,I20-I51)</w:t>
            </w:r>
          </w:p>
        </w:tc>
        <w:tc>
          <w:tcPr>
            <w:tcW w:w="2070" w:type="dxa"/>
            <w:noWrap/>
          </w:tcPr>
          <w:p w:rsidR="004D2676" w:rsidRPr="009B3B53" w:rsidRDefault="003948C4" w:rsidP="00636FAD">
            <w:pPr>
              <w:jc w:val="center"/>
              <w:rPr>
                <w:rFonts w:ascii="Calibri" w:eastAsia="Times New Roman" w:hAnsi="Calibri" w:cs="Times New Roman"/>
                <w:bCs/>
                <w:color w:val="000000"/>
              </w:rPr>
            </w:pPr>
            <w:r>
              <w:rPr>
                <w:rFonts w:ascii="Calibri" w:eastAsia="Times New Roman" w:hAnsi="Calibri" w:cs="Times New Roman"/>
                <w:bCs/>
                <w:color w:val="000000"/>
              </w:rPr>
              <w:t>191.5</w:t>
            </w:r>
          </w:p>
        </w:tc>
        <w:tc>
          <w:tcPr>
            <w:tcW w:w="1890" w:type="dxa"/>
          </w:tcPr>
          <w:p w:rsidR="004D2676" w:rsidRPr="006211F1" w:rsidRDefault="003948C4" w:rsidP="00636FAD">
            <w:pPr>
              <w:jc w:val="center"/>
              <w:rPr>
                <w:rFonts w:ascii="Calibri" w:eastAsia="Times New Roman" w:hAnsi="Calibri" w:cs="Times New Roman"/>
                <w:bCs/>
                <w:color w:val="000000"/>
              </w:rPr>
            </w:pPr>
            <w:r>
              <w:rPr>
                <w:rFonts w:ascii="Calibri" w:eastAsia="Times New Roman" w:hAnsi="Calibri" w:cs="Times New Roman"/>
                <w:bCs/>
                <w:color w:val="000000"/>
              </w:rPr>
              <w:t>169.8</w:t>
            </w:r>
          </w:p>
        </w:tc>
      </w:tr>
      <w:tr w:rsidR="004D2676" w:rsidRPr="009B3B53" w:rsidTr="000428A0">
        <w:trPr>
          <w:trHeight w:val="300"/>
        </w:trPr>
        <w:tc>
          <w:tcPr>
            <w:tcW w:w="3798" w:type="dxa"/>
            <w:noWrap/>
          </w:tcPr>
          <w:p w:rsidR="0052050F" w:rsidRDefault="004D2676" w:rsidP="00636FAD">
            <w:pPr>
              <w:rPr>
                <w:rFonts w:ascii="Calibri" w:eastAsia="Times New Roman" w:hAnsi="Calibri" w:cs="Times New Roman"/>
                <w:color w:val="000000"/>
              </w:rPr>
            </w:pPr>
            <w:r>
              <w:rPr>
                <w:rFonts w:ascii="Calibri" w:eastAsia="Times New Roman" w:hAnsi="Calibri" w:cs="Times New Roman"/>
                <w:color w:val="000000"/>
              </w:rPr>
              <w:t>Cerebrovascular Disease</w:t>
            </w:r>
          </w:p>
          <w:p w:rsidR="004D2676" w:rsidRPr="009B3B53" w:rsidRDefault="000428A0" w:rsidP="00636FAD">
            <w:pPr>
              <w:rPr>
                <w:rFonts w:ascii="Calibri" w:eastAsia="Times New Roman" w:hAnsi="Calibri" w:cs="Times New Roman"/>
                <w:color w:val="000000"/>
                <w:sz w:val="18"/>
                <w:szCs w:val="18"/>
              </w:rPr>
            </w:pPr>
            <w:r w:rsidRPr="000428A0">
              <w:rPr>
                <w:rFonts w:ascii="Calibri" w:eastAsia="Times New Roman" w:hAnsi="Calibri" w:cs="Times New Roman"/>
                <w:color w:val="000000"/>
                <w:sz w:val="16"/>
                <w:szCs w:val="16"/>
              </w:rPr>
              <w:t>(I60-I69)</w:t>
            </w:r>
          </w:p>
        </w:tc>
        <w:tc>
          <w:tcPr>
            <w:tcW w:w="2070" w:type="dxa"/>
            <w:noWrap/>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37.8</w:t>
            </w:r>
          </w:p>
        </w:tc>
        <w:tc>
          <w:tcPr>
            <w:tcW w:w="1890" w:type="dxa"/>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36.2</w:t>
            </w:r>
          </w:p>
        </w:tc>
      </w:tr>
      <w:tr w:rsidR="004D2676" w:rsidRPr="009B3B53" w:rsidTr="000428A0">
        <w:trPr>
          <w:trHeight w:val="300"/>
        </w:trPr>
        <w:tc>
          <w:tcPr>
            <w:tcW w:w="3798" w:type="dxa"/>
            <w:noWrap/>
          </w:tcPr>
          <w:p w:rsidR="0052050F" w:rsidRDefault="004D2676" w:rsidP="00636FAD">
            <w:pPr>
              <w:rPr>
                <w:rFonts w:ascii="Calibri" w:eastAsia="Times New Roman" w:hAnsi="Calibri" w:cs="Times New Roman"/>
                <w:color w:val="000000"/>
              </w:rPr>
            </w:pPr>
            <w:r>
              <w:rPr>
                <w:rFonts w:ascii="Calibri" w:eastAsia="Times New Roman" w:hAnsi="Calibri" w:cs="Times New Roman"/>
                <w:color w:val="000000"/>
              </w:rPr>
              <w:t>Essential Hypertension</w:t>
            </w:r>
          </w:p>
          <w:p w:rsidR="004D2676" w:rsidRPr="009B3B53" w:rsidRDefault="000428A0" w:rsidP="00636FAD">
            <w:pPr>
              <w:rPr>
                <w:rFonts w:ascii="Calibri" w:eastAsia="Times New Roman" w:hAnsi="Calibri" w:cs="Times New Roman"/>
                <w:color w:val="000000"/>
              </w:rPr>
            </w:pPr>
            <w:r w:rsidRPr="000428A0">
              <w:rPr>
                <w:rFonts w:ascii="Calibri" w:eastAsia="Times New Roman" w:hAnsi="Calibri" w:cs="Times New Roman"/>
                <w:color w:val="000000"/>
                <w:sz w:val="16"/>
                <w:szCs w:val="16"/>
              </w:rPr>
              <w:t>(I10,I12,I15)</w:t>
            </w:r>
          </w:p>
        </w:tc>
        <w:tc>
          <w:tcPr>
            <w:tcW w:w="2070" w:type="dxa"/>
            <w:noWrap/>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8.6</w:t>
            </w:r>
          </w:p>
        </w:tc>
        <w:tc>
          <w:tcPr>
            <w:tcW w:w="1890" w:type="dxa"/>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8.5</w:t>
            </w:r>
          </w:p>
        </w:tc>
      </w:tr>
      <w:tr w:rsidR="004D2676" w:rsidRPr="009B3B53" w:rsidTr="000428A0">
        <w:trPr>
          <w:trHeight w:val="300"/>
        </w:trPr>
        <w:tc>
          <w:tcPr>
            <w:tcW w:w="3798" w:type="dxa"/>
            <w:noWrap/>
          </w:tcPr>
          <w:p w:rsidR="0052050F" w:rsidRDefault="004D2676" w:rsidP="00636FAD">
            <w:pPr>
              <w:rPr>
                <w:rFonts w:ascii="Calibri" w:eastAsia="Times New Roman" w:hAnsi="Calibri" w:cs="Times New Roman"/>
                <w:color w:val="000000"/>
              </w:rPr>
            </w:pPr>
            <w:r>
              <w:rPr>
                <w:rFonts w:ascii="Calibri" w:eastAsia="Times New Roman" w:hAnsi="Calibri" w:cs="Times New Roman"/>
                <w:color w:val="000000"/>
              </w:rPr>
              <w:t>Chronic Kidney Disease</w:t>
            </w:r>
          </w:p>
          <w:p w:rsidR="004D2676" w:rsidRPr="009B3B53" w:rsidRDefault="000428A0" w:rsidP="00636FAD">
            <w:pPr>
              <w:rPr>
                <w:rFonts w:ascii="Calibri" w:eastAsia="Times New Roman" w:hAnsi="Calibri" w:cs="Times New Roman"/>
                <w:color w:val="000000"/>
              </w:rPr>
            </w:pPr>
            <w:r w:rsidRPr="000428A0">
              <w:rPr>
                <w:rFonts w:ascii="Calibri" w:eastAsia="Times New Roman" w:hAnsi="Calibri" w:cs="Times New Roman"/>
                <w:color w:val="000000"/>
                <w:sz w:val="16"/>
                <w:szCs w:val="16"/>
              </w:rPr>
              <w:t>(N00-N07, N17-N19, N25-N27)</w:t>
            </w:r>
          </w:p>
        </w:tc>
        <w:tc>
          <w:tcPr>
            <w:tcW w:w="2070" w:type="dxa"/>
            <w:noWrap/>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20.7</w:t>
            </w:r>
          </w:p>
        </w:tc>
        <w:tc>
          <w:tcPr>
            <w:tcW w:w="1890" w:type="dxa"/>
          </w:tcPr>
          <w:p w:rsidR="004D2676" w:rsidRPr="009B3B53" w:rsidRDefault="003948C4" w:rsidP="00636FAD">
            <w:pPr>
              <w:jc w:val="center"/>
              <w:rPr>
                <w:rFonts w:ascii="Calibri" w:eastAsia="Times New Roman" w:hAnsi="Calibri" w:cs="Times New Roman"/>
                <w:color w:val="000000"/>
              </w:rPr>
            </w:pPr>
            <w:r>
              <w:rPr>
                <w:rFonts w:ascii="Calibri" w:eastAsia="Times New Roman" w:hAnsi="Calibri" w:cs="Times New Roman"/>
                <w:color w:val="000000"/>
              </w:rPr>
              <w:t>13.2</w:t>
            </w:r>
          </w:p>
        </w:tc>
      </w:tr>
    </w:tbl>
    <w:p w:rsidR="004D2676" w:rsidRPr="00160976" w:rsidRDefault="004D2676" w:rsidP="00705259">
      <w:pPr>
        <w:rPr>
          <w:sz w:val="18"/>
          <w:szCs w:val="18"/>
        </w:rPr>
      </w:pPr>
      <w:r>
        <w:rPr>
          <w:sz w:val="18"/>
          <w:szCs w:val="18"/>
        </w:rPr>
        <w:t>Sources:</w:t>
      </w:r>
      <w:r w:rsidR="003948C4" w:rsidRPr="003948C4">
        <w:t xml:space="preserve"> </w:t>
      </w:r>
      <w:r w:rsidR="003948C4" w:rsidRPr="003948C4">
        <w:rPr>
          <w:sz w:val="18"/>
          <w:szCs w:val="18"/>
        </w:rPr>
        <w:t>Indiana State Department of Health, Epidemiology Resource Center, Data Analysis Team</w:t>
      </w:r>
      <w:r w:rsidR="003948C4">
        <w:rPr>
          <w:sz w:val="18"/>
          <w:szCs w:val="18"/>
        </w:rPr>
        <w:t xml:space="preserve"> (2013);</w:t>
      </w:r>
      <w:r w:rsidR="000428A0">
        <w:rPr>
          <w:sz w:val="18"/>
          <w:szCs w:val="18"/>
        </w:rPr>
        <w:t xml:space="preserve"> </w:t>
      </w:r>
      <w:r w:rsidR="000428A0" w:rsidRPr="000428A0">
        <w:rPr>
          <w:sz w:val="18"/>
          <w:szCs w:val="18"/>
        </w:rPr>
        <w:t>National Vital Statistics data, NVSS (2013)</w:t>
      </w:r>
      <w:r w:rsidR="008251AA">
        <w:rPr>
          <w:sz w:val="18"/>
          <w:szCs w:val="18"/>
        </w:rPr>
        <w:t>.</w:t>
      </w:r>
      <w:r w:rsidR="003D1713">
        <w:rPr>
          <w:sz w:val="18"/>
          <w:szCs w:val="18"/>
        </w:rPr>
        <w:t xml:space="preserve"> Both Mar</w:t>
      </w:r>
      <w:r w:rsidR="003948C4">
        <w:rPr>
          <w:sz w:val="18"/>
          <w:szCs w:val="18"/>
        </w:rPr>
        <w:t>ion County and U.S. rates</w:t>
      </w:r>
      <w:r w:rsidR="009928FD">
        <w:rPr>
          <w:sz w:val="18"/>
          <w:szCs w:val="18"/>
        </w:rPr>
        <w:t xml:space="preserve"> per 100,000 </w:t>
      </w:r>
      <w:proofErr w:type="gramStart"/>
      <w:r w:rsidR="009928FD">
        <w:rPr>
          <w:sz w:val="18"/>
          <w:szCs w:val="18"/>
        </w:rPr>
        <w:t>population</w:t>
      </w:r>
      <w:proofErr w:type="gramEnd"/>
      <w:r w:rsidR="009928FD">
        <w:rPr>
          <w:sz w:val="18"/>
          <w:szCs w:val="18"/>
        </w:rPr>
        <w:t xml:space="preserve"> have been</w:t>
      </w:r>
      <w:r w:rsidR="003948C4">
        <w:rPr>
          <w:sz w:val="18"/>
          <w:szCs w:val="18"/>
        </w:rPr>
        <w:t xml:space="preserve"> age-</w:t>
      </w:r>
      <w:r w:rsidR="003D1713">
        <w:rPr>
          <w:sz w:val="18"/>
          <w:szCs w:val="18"/>
        </w:rPr>
        <w:t>adjusted.</w:t>
      </w:r>
    </w:p>
    <w:p w:rsidR="00854780" w:rsidRPr="00896505" w:rsidRDefault="00EC707A" w:rsidP="00705259">
      <w:pPr>
        <w:rPr>
          <w:b/>
        </w:rPr>
      </w:pPr>
      <w:r w:rsidRPr="00896505">
        <w:rPr>
          <w:b/>
        </w:rPr>
        <w:t>High Blood Pressure Risks:</w:t>
      </w:r>
    </w:p>
    <w:p w:rsidR="0070532E" w:rsidRDefault="006E2715" w:rsidP="0070532E">
      <w:r>
        <w:t>The relationship</w:t>
      </w:r>
      <w:r w:rsidR="00705259">
        <w:t xml:space="preserve"> between</w:t>
      </w:r>
      <w:r w:rsidR="00854780">
        <w:t xml:space="preserve"> </w:t>
      </w:r>
      <w:r w:rsidR="004F7E78">
        <w:t>increasing levels of blood pressure</w:t>
      </w:r>
      <w:r w:rsidR="00705259">
        <w:t xml:space="preserve"> and </w:t>
      </w:r>
      <w:r w:rsidR="004F7E78">
        <w:t xml:space="preserve">increasing </w:t>
      </w:r>
      <w:r w:rsidR="00705259">
        <w:t xml:space="preserve">risk of CVD events is </w:t>
      </w:r>
      <w:r w:rsidR="004F7E78">
        <w:t xml:space="preserve">a </w:t>
      </w:r>
      <w:r w:rsidR="00705259">
        <w:t>continuous, consistent,</w:t>
      </w:r>
      <w:r w:rsidR="00EC707A">
        <w:t xml:space="preserve"> </w:t>
      </w:r>
      <w:r w:rsidR="00705259">
        <w:t xml:space="preserve">and independent </w:t>
      </w:r>
      <w:r w:rsidR="00BB59D1">
        <w:t xml:space="preserve">risk factor for poor outcomes, regardless of </w:t>
      </w:r>
      <w:r w:rsidR="00705259">
        <w:t xml:space="preserve">other </w:t>
      </w:r>
      <w:r w:rsidR="00F85503">
        <w:t xml:space="preserve">cardiovascular </w:t>
      </w:r>
      <w:r w:rsidR="00705259">
        <w:t>risk factors</w:t>
      </w:r>
      <w:r w:rsidR="00F85503">
        <w:rPr>
          <w:rStyle w:val="EndnoteReference"/>
        </w:rPr>
        <w:endnoteReference w:id="12"/>
      </w:r>
      <w:r w:rsidR="00705259">
        <w:t xml:space="preserve">. </w:t>
      </w:r>
    </w:p>
    <w:p w:rsidR="006E2715" w:rsidRDefault="00945E1D" w:rsidP="0070532E">
      <w:r>
        <w:lastRenderedPageBreak/>
        <w:t>A reduction in as little as 2 mmHg in average population DBP among 35-64 year olds could result in a 17% red</w:t>
      </w:r>
      <w:r w:rsidR="004A674C">
        <w:t>uction in hypertension, 14% fewer</w:t>
      </w:r>
      <w:r>
        <w:t xml:space="preserve"> stroke events, and 6% fewer heart attacks</w:t>
      </w:r>
      <w:r>
        <w:rPr>
          <w:rStyle w:val="EndnoteReference"/>
        </w:rPr>
        <w:endnoteReference w:id="13"/>
      </w:r>
      <w:r>
        <w:t>.</w:t>
      </w:r>
    </w:p>
    <w:p w:rsidR="0070532E" w:rsidRDefault="0070532E" w:rsidP="004F7E78">
      <w:pPr>
        <w:ind w:left="720"/>
        <w:jc w:val="both"/>
      </w:pPr>
      <w:r>
        <w:t>• In persons older than 50 years, systolic blood pressure greater than 140 mmHg is a much more important cardiovascular disease (CVD) risk factor than diastolic blood pressure</w:t>
      </w:r>
      <w:r>
        <w:rPr>
          <w:rStyle w:val="EndnoteReference"/>
        </w:rPr>
        <w:endnoteReference w:id="14"/>
      </w:r>
      <w:r>
        <w:t>.</w:t>
      </w:r>
    </w:p>
    <w:p w:rsidR="0070532E" w:rsidRDefault="00D21CA4" w:rsidP="004F7E78">
      <w:pPr>
        <w:ind w:left="720"/>
        <w:jc w:val="both"/>
      </w:pPr>
      <w:r>
        <w:t xml:space="preserve">• </w:t>
      </w:r>
      <w:r w:rsidRPr="00D21CA4">
        <w:t>The higher the BP, the greater the chance of heart attack, heart failure, stroke, and kidney disease (organ endpoints of HBP). Each increment of 20 mmHg in systolic BP (SBP) or 10 mmHg in diastolic BP (DBP) doubles the risk of CVD over the entire BP range from 115-185 SBP and 75-115 DBP mmHg</w:t>
      </w:r>
      <w:r w:rsidR="00921422">
        <w:rPr>
          <w:rStyle w:val="EndnoteReference"/>
        </w:rPr>
        <w:endnoteReference w:id="15"/>
      </w:r>
      <w:r w:rsidR="00FA6622">
        <w:t>.</w:t>
      </w:r>
    </w:p>
    <w:p w:rsidR="0070532E" w:rsidRDefault="0070532E" w:rsidP="004F7E78">
      <w:pPr>
        <w:pStyle w:val="ListParagraph"/>
        <w:numPr>
          <w:ilvl w:val="0"/>
          <w:numId w:val="5"/>
        </w:numPr>
      </w:pPr>
      <w:r>
        <w:t>Individuals who</w:t>
      </w:r>
      <w:r w:rsidR="00CF2EE4">
        <w:t xml:space="preserve"> have normal BP levels</w:t>
      </w:r>
      <w:r>
        <w:t xml:space="preserve"> at age 55 have</w:t>
      </w:r>
      <w:r w:rsidR="004F7E78">
        <w:t xml:space="preserve"> a 90 percent lifetime risk for </w:t>
      </w:r>
      <w:r>
        <w:t>developing hypertension</w:t>
      </w:r>
      <w:r>
        <w:rPr>
          <w:rStyle w:val="EndnoteReference"/>
        </w:rPr>
        <w:endnoteReference w:id="16"/>
      </w:r>
      <w:r>
        <w:t>.</w:t>
      </w:r>
    </w:p>
    <w:p w:rsidR="009828E8" w:rsidRDefault="009828E8" w:rsidP="004F7E78">
      <w:pPr>
        <w:pStyle w:val="ListParagraph"/>
        <w:numPr>
          <w:ilvl w:val="0"/>
          <w:numId w:val="1"/>
        </w:numPr>
        <w:jc w:val="both"/>
      </w:pPr>
      <w:r>
        <w:t>Persons with normal cholesterol,</w:t>
      </w:r>
      <w:r w:rsidR="00BF4051">
        <w:t xml:space="preserve"> and blood pressure and</w:t>
      </w:r>
      <w:r>
        <w:t xml:space="preserve"> do not smoke have 72%-85% lower mortality rates from cardiovascular disease and 40-58% lower all-cause mortality than do people who have 1-3 of these modifiable risk factors</w:t>
      </w:r>
      <w:r>
        <w:rPr>
          <w:rStyle w:val="EndnoteReference"/>
        </w:rPr>
        <w:endnoteReference w:id="17"/>
      </w:r>
      <w:r w:rsidR="006E2715">
        <w:t>.  The lower risk group also enjoyed 6-9.5 additional years of life expectancy.</w:t>
      </w:r>
    </w:p>
    <w:p w:rsidR="004F7E78" w:rsidRDefault="004F7E78" w:rsidP="004F7E78">
      <w:pPr>
        <w:pStyle w:val="ListParagraph"/>
        <w:numPr>
          <w:ilvl w:val="0"/>
          <w:numId w:val="1"/>
        </w:numPr>
        <w:jc w:val="both"/>
      </w:pPr>
      <w:r>
        <w:t>In the U.S.</w:t>
      </w:r>
      <w:r w:rsidR="00BF4051">
        <w:t>,</w:t>
      </w:r>
      <w:r>
        <w:t xml:space="preserve"> hypertension causes 35% of heart attacks</w:t>
      </w:r>
      <w:r w:rsidR="00624180">
        <w:t>, 35% of</w:t>
      </w:r>
      <w:r>
        <w:t xml:space="preserve"> strokes, 49% of heart failure episodes, and 24% of premature deaths</w:t>
      </w:r>
      <w:r w:rsidR="004161C5">
        <w:rPr>
          <w:rStyle w:val="EndnoteReference"/>
        </w:rPr>
        <w:endnoteReference w:id="18"/>
      </w:r>
      <w:r w:rsidR="003D6CD2">
        <w:t>.</w:t>
      </w:r>
    </w:p>
    <w:p w:rsidR="00225F25" w:rsidRDefault="00225F25" w:rsidP="004F7E78">
      <w:pPr>
        <w:pStyle w:val="ListParagraph"/>
        <w:numPr>
          <w:ilvl w:val="0"/>
          <w:numId w:val="1"/>
        </w:numPr>
        <w:jc w:val="both"/>
      </w:pPr>
      <w:r>
        <w:t>The direct and indirect costs of hypertension in the U.S. was over $51 billion (2009) and is projected</w:t>
      </w:r>
      <w:r w:rsidR="004A674C">
        <w:t xml:space="preserve"> to rise to over $343 billion </w:t>
      </w:r>
      <w:r>
        <w:t>2030</w:t>
      </w:r>
      <w:r>
        <w:rPr>
          <w:rStyle w:val="EndnoteReference"/>
        </w:rPr>
        <w:endnoteReference w:id="19"/>
      </w:r>
      <w:r>
        <w:t>.</w:t>
      </w:r>
    </w:p>
    <w:p w:rsidR="002554C0" w:rsidRDefault="00BF4051" w:rsidP="00A03C04">
      <w:pPr>
        <w:rPr>
          <w:b/>
        </w:rPr>
      </w:pPr>
      <w:r>
        <w:rPr>
          <w:b/>
        </w:rPr>
        <w:t>Management of</w:t>
      </w:r>
      <w:r w:rsidR="002554C0" w:rsidRPr="00896505">
        <w:rPr>
          <w:b/>
        </w:rPr>
        <w:t xml:space="preserve"> hypertension:</w:t>
      </w:r>
    </w:p>
    <w:p w:rsidR="002B394D" w:rsidRDefault="002B394D" w:rsidP="001F7236">
      <w:r w:rsidRPr="002B394D">
        <w:t>In 2000, 70% of Americans</w:t>
      </w:r>
      <w:r w:rsidR="00B33CC5">
        <w:t xml:space="preserve"> ages</w:t>
      </w:r>
      <w:r w:rsidRPr="002B394D">
        <w:t xml:space="preserve"> 18-74 who had HBP were aware of their condition, and 60% were being treated, but only 1 in 3 (34%) were able to keep their BP in the normal range, with medication</w:t>
      </w:r>
      <w:r w:rsidRPr="002B394D">
        <w:rPr>
          <w:vertAlign w:val="superscript"/>
        </w:rPr>
        <w:endnoteReference w:id="20"/>
      </w:r>
      <w:r>
        <w:t>.</w:t>
      </w:r>
    </w:p>
    <w:p w:rsidR="002B394D" w:rsidRDefault="002B394D" w:rsidP="001F7236">
      <w:r>
        <w:t>Treatment of hypertension o</w:t>
      </w:r>
      <w:r w:rsidR="0070532E">
        <w:t>r pre-hypertension involves</w:t>
      </w:r>
      <w:r w:rsidR="00D07E82">
        <w:t>:</w:t>
      </w:r>
      <w:r w:rsidR="0070532E">
        <w:t xml:space="preserve">  1) l</w:t>
      </w:r>
      <w:r>
        <w:t>i</w:t>
      </w:r>
      <w:r w:rsidR="0070532E">
        <w:t>festyle m</w:t>
      </w:r>
      <w:r>
        <w:t xml:space="preserve">odifications, and in </w:t>
      </w:r>
      <w:r w:rsidR="00D07E82">
        <w:t xml:space="preserve">more severe </w:t>
      </w:r>
      <w:r>
        <w:t>cases, 2) anti-hypertension medication therapy</w:t>
      </w:r>
      <w:r w:rsidR="0070532E">
        <w:t>.</w:t>
      </w:r>
    </w:p>
    <w:p w:rsidR="002554C0" w:rsidRDefault="00896505" w:rsidP="001F7236">
      <w:r>
        <w:t xml:space="preserve">Treating </w:t>
      </w:r>
      <w:r w:rsidR="002B394D">
        <w:t xml:space="preserve">BP </w:t>
      </w:r>
      <w:r>
        <w:t xml:space="preserve">to targets </w:t>
      </w:r>
      <w:r w:rsidR="002B394D">
        <w:t xml:space="preserve">of under </w:t>
      </w:r>
      <w:r>
        <w:t>140/90 mmHg is associated with decrease</w:t>
      </w:r>
      <w:r w:rsidR="002B394D">
        <w:t>d</w:t>
      </w:r>
      <w:r>
        <w:t xml:space="preserve"> in CVD complications.</w:t>
      </w:r>
      <w:r w:rsidR="002B394D">
        <w:t xml:space="preserve"> </w:t>
      </w:r>
      <w:r w:rsidR="002554C0">
        <w:t>Antihypertensive therapy reduces stroke incidence by 35–40%, heart attack (myocardial infarction) risk by 20–25% and heart failure by over 50</w:t>
      </w:r>
      <w:r w:rsidR="00905A94">
        <w:t>%</w:t>
      </w:r>
      <w:r w:rsidR="002554C0">
        <w:rPr>
          <w:rStyle w:val="EndnoteReference"/>
        </w:rPr>
        <w:endnoteReference w:id="21"/>
      </w:r>
      <w:r w:rsidR="006628B4">
        <w:t>.</w:t>
      </w:r>
    </w:p>
    <w:p w:rsidR="00976494" w:rsidRDefault="00976494" w:rsidP="001F7236">
      <w:pPr>
        <w:rPr>
          <w:b/>
        </w:rPr>
      </w:pPr>
      <w:r w:rsidRPr="00976494">
        <w:rPr>
          <w:b/>
        </w:rPr>
        <w:t>Risk Factors for Hypertension</w:t>
      </w:r>
    </w:p>
    <w:p w:rsidR="00C07A7C" w:rsidRDefault="00C07A7C" w:rsidP="00C07A7C">
      <w:r>
        <w:t>Non-modifiable r</w:t>
      </w:r>
      <w:r w:rsidR="00976494">
        <w:t xml:space="preserve">isk factors for developing high blood pressure include factors </w:t>
      </w:r>
      <w:r w:rsidR="00084332">
        <w:t>that an individual has less</w:t>
      </w:r>
      <w:r w:rsidR="00976494">
        <w:t xml:space="preserve"> control</w:t>
      </w:r>
      <w:r w:rsidR="00084332">
        <w:t xml:space="preserve"> over</w:t>
      </w:r>
      <w:r w:rsidR="00976494">
        <w:t>, but warrant awareness by individuals and their h</w:t>
      </w:r>
      <w:r w:rsidR="009828E8">
        <w:t>ealth care providers</w:t>
      </w:r>
      <w:r>
        <w:t xml:space="preserve">. These include: </w:t>
      </w:r>
    </w:p>
    <w:p w:rsidR="00C07A7C" w:rsidRDefault="00C07A7C" w:rsidP="00C07A7C">
      <w:pPr>
        <w:pStyle w:val="NoSpacing"/>
        <w:numPr>
          <w:ilvl w:val="0"/>
          <w:numId w:val="6"/>
        </w:numPr>
      </w:pPr>
      <w:r>
        <w:t>Increasing age</w:t>
      </w:r>
    </w:p>
    <w:p w:rsidR="00C07A7C" w:rsidRDefault="00C07A7C" w:rsidP="00C07A7C">
      <w:pPr>
        <w:pStyle w:val="NoSpacing"/>
        <w:numPr>
          <w:ilvl w:val="0"/>
          <w:numId w:val="6"/>
        </w:numPr>
      </w:pPr>
      <w:r>
        <w:t>M</w:t>
      </w:r>
      <w:r w:rsidR="009828E8">
        <w:t>ale gender (in those over 40)</w:t>
      </w:r>
    </w:p>
    <w:p w:rsidR="00C07A7C" w:rsidRDefault="00C07A7C" w:rsidP="00C07A7C">
      <w:pPr>
        <w:pStyle w:val="NoSpacing"/>
        <w:numPr>
          <w:ilvl w:val="0"/>
          <w:numId w:val="6"/>
        </w:numPr>
      </w:pPr>
      <w:r>
        <w:t>F</w:t>
      </w:r>
      <w:r w:rsidR="00976494">
        <w:t>amily history</w:t>
      </w:r>
      <w:r w:rsidR="00E05DFD">
        <w:t xml:space="preserve"> of hypertension</w:t>
      </w:r>
    </w:p>
    <w:p w:rsidR="00C07A7C" w:rsidRDefault="00A038BF" w:rsidP="00C07A7C">
      <w:pPr>
        <w:pStyle w:val="NoSpacing"/>
        <w:numPr>
          <w:ilvl w:val="0"/>
          <w:numId w:val="6"/>
        </w:numPr>
      </w:pPr>
      <w:r>
        <w:t>Minority status</w:t>
      </w:r>
    </w:p>
    <w:p w:rsidR="00976494" w:rsidRDefault="00C07A7C" w:rsidP="00C07A7C">
      <w:pPr>
        <w:pStyle w:val="NoSpacing"/>
        <w:numPr>
          <w:ilvl w:val="0"/>
          <w:numId w:val="6"/>
        </w:numPr>
      </w:pPr>
      <w:r>
        <w:t>Lo</w:t>
      </w:r>
      <w:r w:rsidR="00976494">
        <w:t>w education and low socio-economic status</w:t>
      </w:r>
      <w:r w:rsidR="00976494">
        <w:rPr>
          <w:rStyle w:val="EndnoteReference"/>
        </w:rPr>
        <w:endnoteReference w:id="22"/>
      </w:r>
    </w:p>
    <w:p w:rsidR="00C07A7C" w:rsidRDefault="00C07A7C" w:rsidP="00C07A7C">
      <w:pPr>
        <w:pStyle w:val="NoSpacing"/>
        <w:numPr>
          <w:ilvl w:val="0"/>
          <w:numId w:val="6"/>
        </w:numPr>
      </w:pPr>
      <w:r>
        <w:t>Current clinical conditions</w:t>
      </w:r>
      <w:r>
        <w:rPr>
          <w:rStyle w:val="EndnoteReference"/>
        </w:rPr>
        <w:endnoteReference w:id="23"/>
      </w:r>
    </w:p>
    <w:p w:rsidR="00A12C43" w:rsidRDefault="00A12C43" w:rsidP="00A12C43"/>
    <w:p w:rsidR="00A12C43" w:rsidRDefault="00976494" w:rsidP="00A12C43">
      <w:r>
        <w:lastRenderedPageBreak/>
        <w:t>Othe</w:t>
      </w:r>
      <w:r w:rsidR="00C07A7C">
        <w:t>r risk factor</w:t>
      </w:r>
      <w:r w:rsidR="00264B6C">
        <w:t xml:space="preserve">s might be modifiable, such as </w:t>
      </w:r>
      <w:r w:rsidR="00C07A7C">
        <w:t>s</w:t>
      </w:r>
      <w:r>
        <w:t>leep ap</w:t>
      </w:r>
      <w:r w:rsidR="00264B6C">
        <w:t xml:space="preserve">nea and the </w:t>
      </w:r>
      <w:r w:rsidR="00F6323A">
        <w:t>use of oral contraceptives</w:t>
      </w:r>
      <w:r w:rsidR="00C07A7C">
        <w:t>.</w:t>
      </w:r>
      <w:r w:rsidR="00A12C43" w:rsidRPr="00A12C43">
        <w:t xml:space="preserve"> </w:t>
      </w:r>
    </w:p>
    <w:p w:rsidR="00A12C43" w:rsidRPr="00A12C43" w:rsidRDefault="00A12C43" w:rsidP="00A12C43">
      <w:r w:rsidRPr="00A12C43">
        <w:t xml:space="preserve">Young people with one or more cardiovascular risk factors, including elevated blood pressure, have been found to have increased risk of end-organ damage such as carotid artery thickening, </w:t>
      </w:r>
      <w:r>
        <w:t>and left ventricular thickening</w:t>
      </w:r>
      <w:r>
        <w:rPr>
          <w:rStyle w:val="EndnoteReference"/>
        </w:rPr>
        <w:endnoteReference w:id="24"/>
      </w:r>
      <w:r w:rsidRPr="00A12C43">
        <w:t>.  The National High Blood Pressure Education Program and the American Academy of Pediatrics has recommended that children over age 3 have their BP measured at any health care visit, as pre-hypertension/hypertension is oft</w:t>
      </w:r>
      <w:r>
        <w:t>en under-recognized in children</w:t>
      </w:r>
      <w:r w:rsidRPr="00A12C43">
        <w:t>.</w:t>
      </w:r>
    </w:p>
    <w:p w:rsidR="002B394D" w:rsidRPr="002B394D" w:rsidRDefault="002B394D" w:rsidP="002B394D">
      <w:pPr>
        <w:autoSpaceDE w:val="0"/>
        <w:autoSpaceDN w:val="0"/>
        <w:adjustRightInd w:val="0"/>
        <w:spacing w:after="0" w:line="240" w:lineRule="auto"/>
        <w:rPr>
          <w:b/>
        </w:rPr>
      </w:pPr>
      <w:r w:rsidRPr="002B394D">
        <w:rPr>
          <w:b/>
        </w:rPr>
        <w:t>Lifestyle Modifications</w:t>
      </w:r>
    </w:p>
    <w:p w:rsidR="002B394D" w:rsidRDefault="002B394D" w:rsidP="002B394D">
      <w:pPr>
        <w:autoSpaceDE w:val="0"/>
        <w:autoSpaceDN w:val="0"/>
        <w:adjustRightInd w:val="0"/>
        <w:spacing w:after="0" w:line="240" w:lineRule="auto"/>
      </w:pPr>
    </w:p>
    <w:p w:rsidR="002B394D" w:rsidRDefault="002B394D" w:rsidP="002B394D">
      <w:pPr>
        <w:autoSpaceDE w:val="0"/>
        <w:autoSpaceDN w:val="0"/>
        <w:adjustRightInd w:val="0"/>
        <w:spacing w:after="0" w:line="240" w:lineRule="auto"/>
      </w:pPr>
      <w:r>
        <w:t>Adoption of he</w:t>
      </w:r>
      <w:r w:rsidR="00F65C25">
        <w:t xml:space="preserve">althy lifestyles </w:t>
      </w:r>
      <w:r>
        <w:t xml:space="preserve">is critical for the </w:t>
      </w:r>
      <w:r w:rsidR="00F65C25">
        <w:t xml:space="preserve">primary </w:t>
      </w:r>
      <w:r>
        <w:t>prevention of</w:t>
      </w:r>
      <w:r w:rsidR="00F65C25">
        <w:t xml:space="preserve"> HBP </w:t>
      </w:r>
      <w:r>
        <w:t>and is an indispensable part</w:t>
      </w:r>
      <w:r w:rsidR="00F65C25">
        <w:t xml:space="preserve"> of the management of those who have developed</w:t>
      </w:r>
      <w:r>
        <w:t xml:space="preserve"> hypertension.</w:t>
      </w:r>
    </w:p>
    <w:p w:rsidR="00D07E82" w:rsidRDefault="00D07E82" w:rsidP="002B394D">
      <w:pPr>
        <w:autoSpaceDE w:val="0"/>
        <w:autoSpaceDN w:val="0"/>
        <w:adjustRightInd w:val="0"/>
        <w:spacing w:after="0" w:line="240" w:lineRule="auto"/>
      </w:pPr>
    </w:p>
    <w:p w:rsidR="002B394D" w:rsidRDefault="00D07E82" w:rsidP="002B394D">
      <w:pPr>
        <w:autoSpaceDE w:val="0"/>
        <w:autoSpaceDN w:val="0"/>
        <w:adjustRightInd w:val="0"/>
        <w:spacing w:after="0" w:line="240" w:lineRule="auto"/>
      </w:pPr>
      <w:r>
        <w:t>L</w:t>
      </w:r>
      <w:r w:rsidR="002B394D">
        <w:t>ifestyle modifications shown to lower BP include:</w:t>
      </w:r>
    </w:p>
    <w:p w:rsidR="002B394D" w:rsidRDefault="00FA6622" w:rsidP="00FA6622">
      <w:pPr>
        <w:pStyle w:val="ListParagraph"/>
        <w:numPr>
          <w:ilvl w:val="0"/>
          <w:numId w:val="4"/>
        </w:numPr>
        <w:autoSpaceDE w:val="0"/>
        <w:autoSpaceDN w:val="0"/>
        <w:adjustRightInd w:val="0"/>
        <w:spacing w:after="0" w:line="240" w:lineRule="auto"/>
      </w:pPr>
      <w:r w:rsidRPr="00380032">
        <w:rPr>
          <w:b/>
        </w:rPr>
        <w:t xml:space="preserve">Achieve </w:t>
      </w:r>
      <w:r w:rsidR="003D6CD2">
        <w:rPr>
          <w:b/>
        </w:rPr>
        <w:t xml:space="preserve">a </w:t>
      </w:r>
      <w:r w:rsidRPr="00380032">
        <w:rPr>
          <w:b/>
        </w:rPr>
        <w:t>normal b</w:t>
      </w:r>
      <w:r w:rsidR="0050636C" w:rsidRPr="00380032">
        <w:rPr>
          <w:b/>
        </w:rPr>
        <w:t xml:space="preserve">ody </w:t>
      </w:r>
      <w:r w:rsidRPr="00380032">
        <w:rPr>
          <w:b/>
        </w:rPr>
        <w:t>w</w:t>
      </w:r>
      <w:r w:rsidR="002B394D" w:rsidRPr="00380032">
        <w:rPr>
          <w:b/>
        </w:rPr>
        <w:t>eight</w:t>
      </w:r>
      <w:r w:rsidR="002B394D">
        <w:t xml:space="preserve"> </w:t>
      </w:r>
      <w:r w:rsidR="00380032">
        <w:t xml:space="preserve">(a Body Mass Index (BMI) </w:t>
      </w:r>
      <w:proofErr w:type="gramStart"/>
      <w:r w:rsidR="00380032">
        <w:t>of  18.</w:t>
      </w:r>
      <w:r w:rsidR="0050636C">
        <w:t>5</w:t>
      </w:r>
      <w:proofErr w:type="gramEnd"/>
      <w:r w:rsidR="0050636C">
        <w:t>-24.9 kg/m2)</w:t>
      </w:r>
      <w:r w:rsidR="00F65C25">
        <w:rPr>
          <w:rStyle w:val="EndnoteReference"/>
        </w:rPr>
        <w:endnoteReference w:id="25"/>
      </w:r>
      <w:r w:rsidR="003D6CD2">
        <w:t>.</w:t>
      </w:r>
    </w:p>
    <w:p w:rsidR="002B394D" w:rsidRDefault="00FA6622" w:rsidP="00FA6622">
      <w:pPr>
        <w:pStyle w:val="ListParagraph"/>
        <w:numPr>
          <w:ilvl w:val="0"/>
          <w:numId w:val="4"/>
        </w:numPr>
        <w:autoSpaceDE w:val="0"/>
        <w:autoSpaceDN w:val="0"/>
        <w:adjustRightInd w:val="0"/>
        <w:spacing w:after="0" w:line="240" w:lineRule="auto"/>
      </w:pPr>
      <w:r w:rsidRPr="00380032">
        <w:rPr>
          <w:b/>
        </w:rPr>
        <w:t>Adopt</w:t>
      </w:r>
      <w:r w:rsidR="002B394D" w:rsidRPr="00380032">
        <w:rPr>
          <w:b/>
        </w:rPr>
        <w:t xml:space="preserve"> the D</w:t>
      </w:r>
      <w:r w:rsidRPr="00380032">
        <w:rPr>
          <w:b/>
        </w:rPr>
        <w:t>ie</w:t>
      </w:r>
      <w:r w:rsidR="002B394D" w:rsidRPr="00380032">
        <w:rPr>
          <w:b/>
        </w:rPr>
        <w:t>tary Approaches to Stop Hypertension (DASH) eating plan</w:t>
      </w:r>
      <w:r w:rsidR="00F65C25">
        <w:rPr>
          <w:rStyle w:val="EndnoteReference"/>
        </w:rPr>
        <w:endnoteReference w:id="26"/>
      </w:r>
      <w:r w:rsidR="00F65C25">
        <w:t>,</w:t>
      </w:r>
      <w:r w:rsidR="002B394D">
        <w:t xml:space="preserve"> which is</w:t>
      </w:r>
    </w:p>
    <w:p w:rsidR="00F65C25" w:rsidRDefault="002B394D" w:rsidP="00FA6622">
      <w:pPr>
        <w:autoSpaceDE w:val="0"/>
        <w:autoSpaceDN w:val="0"/>
        <w:adjustRightInd w:val="0"/>
        <w:spacing w:after="0" w:line="240" w:lineRule="auto"/>
        <w:ind w:left="1440"/>
      </w:pPr>
      <w:proofErr w:type="gramStart"/>
      <w:r>
        <w:t>rich</w:t>
      </w:r>
      <w:proofErr w:type="gramEnd"/>
      <w:r>
        <w:t xml:space="preserve"> in potassium and calcium</w:t>
      </w:r>
      <w:r w:rsidR="00F65C25">
        <w:rPr>
          <w:rStyle w:val="EndnoteReference"/>
        </w:rPr>
        <w:endnoteReference w:id="27"/>
      </w:r>
      <w:r>
        <w:t>,</w:t>
      </w:r>
      <w:r w:rsidR="00DB273E">
        <w:t xml:space="preserve"> fruit, vegetables, legumes, nuts, low-fat and </w:t>
      </w:r>
      <w:r w:rsidR="00380032">
        <w:t>low-</w:t>
      </w:r>
      <w:r w:rsidR="00DB273E">
        <w:t>saturated fat products</w:t>
      </w:r>
      <w:r w:rsidR="0078575C">
        <w:rPr>
          <w:rStyle w:val="EndnoteReference"/>
        </w:rPr>
        <w:endnoteReference w:id="28"/>
      </w:r>
      <w:r w:rsidR="003D6CD2">
        <w:t>.</w:t>
      </w:r>
      <w:r>
        <w:t xml:space="preserve"> </w:t>
      </w:r>
    </w:p>
    <w:p w:rsidR="002B394D" w:rsidRDefault="0050636C" w:rsidP="00FA6622">
      <w:pPr>
        <w:pStyle w:val="ListParagraph"/>
        <w:numPr>
          <w:ilvl w:val="0"/>
          <w:numId w:val="4"/>
        </w:numPr>
        <w:autoSpaceDE w:val="0"/>
        <w:autoSpaceDN w:val="0"/>
        <w:adjustRightInd w:val="0"/>
        <w:spacing w:after="0" w:line="240" w:lineRule="auto"/>
      </w:pPr>
      <w:r w:rsidRPr="00380032">
        <w:rPr>
          <w:b/>
        </w:rPr>
        <w:t xml:space="preserve">Reduce </w:t>
      </w:r>
      <w:r w:rsidR="00F65C25" w:rsidRPr="00380032">
        <w:rPr>
          <w:b/>
        </w:rPr>
        <w:t>D</w:t>
      </w:r>
      <w:r w:rsidRPr="00380032">
        <w:rPr>
          <w:b/>
        </w:rPr>
        <w:t>ietary Sodium</w:t>
      </w:r>
      <w:r w:rsidR="00283EF4">
        <w:t xml:space="preserve"> to under 2300</w:t>
      </w:r>
      <w:r>
        <w:t xml:space="preserve"> </w:t>
      </w:r>
      <w:r w:rsidR="00283EF4">
        <w:t>mg</w:t>
      </w:r>
      <w:r>
        <w:t>/day</w:t>
      </w:r>
      <w:r w:rsidR="00F65C25">
        <w:rPr>
          <w:rStyle w:val="EndnoteReference"/>
        </w:rPr>
        <w:endnoteReference w:id="29"/>
      </w:r>
      <w:r w:rsidR="002B394D">
        <w:t xml:space="preserve"> </w:t>
      </w:r>
      <w:r w:rsidR="00FA6622">
        <w:t xml:space="preserve">and </w:t>
      </w:r>
      <w:r w:rsidR="00FA6622" w:rsidRPr="00380032">
        <w:rPr>
          <w:b/>
        </w:rPr>
        <w:t xml:space="preserve">maintain </w:t>
      </w:r>
      <w:r w:rsidR="003D6CD2">
        <w:rPr>
          <w:b/>
        </w:rPr>
        <w:t xml:space="preserve">a </w:t>
      </w:r>
      <w:r w:rsidR="00FA6622" w:rsidRPr="00380032">
        <w:rPr>
          <w:b/>
        </w:rPr>
        <w:t>p</w:t>
      </w:r>
      <w:r w:rsidR="00F31178" w:rsidRPr="00380032">
        <w:rPr>
          <w:b/>
        </w:rPr>
        <w:t>otassium intake</w:t>
      </w:r>
      <w:r w:rsidR="003D6CD2">
        <w:t xml:space="preserve"> of </w:t>
      </w:r>
      <w:r w:rsidR="00F31178">
        <w:t xml:space="preserve">(&gt; 90 </w:t>
      </w:r>
      <w:proofErr w:type="spellStart"/>
      <w:r w:rsidR="00F31178">
        <w:t>mmol</w:t>
      </w:r>
      <w:proofErr w:type="spellEnd"/>
      <w:r w:rsidR="00F31178">
        <w:t>/day)</w:t>
      </w:r>
      <w:r w:rsidR="00F31178">
        <w:rPr>
          <w:rStyle w:val="EndnoteReference"/>
        </w:rPr>
        <w:endnoteReference w:id="30"/>
      </w:r>
      <w:r w:rsidR="003D6CD2">
        <w:t>.</w:t>
      </w:r>
    </w:p>
    <w:p w:rsidR="00380032" w:rsidRDefault="00380032" w:rsidP="00380032">
      <w:pPr>
        <w:pStyle w:val="ListParagraph"/>
        <w:numPr>
          <w:ilvl w:val="0"/>
          <w:numId w:val="7"/>
        </w:numPr>
        <w:autoSpaceDE w:val="0"/>
        <w:autoSpaceDN w:val="0"/>
        <w:adjustRightInd w:val="0"/>
        <w:spacing w:after="0" w:line="240" w:lineRule="auto"/>
      </w:pPr>
      <w:r>
        <w:t>Most of our daily sodium (salt) intake (over 75%) comes from processed foods and eating out, while little of our dail</w:t>
      </w:r>
      <w:r w:rsidR="0078574D">
        <w:t>y salt comes from a salt shaker.</w:t>
      </w:r>
      <w:r w:rsidR="000F3618">
        <w:t xml:space="preserve"> </w:t>
      </w:r>
    </w:p>
    <w:p w:rsidR="000F3618" w:rsidRDefault="000F3618" w:rsidP="00380032">
      <w:pPr>
        <w:pStyle w:val="ListParagraph"/>
        <w:numPr>
          <w:ilvl w:val="0"/>
          <w:numId w:val="7"/>
        </w:numPr>
        <w:autoSpaceDE w:val="0"/>
        <w:autoSpaceDN w:val="0"/>
        <w:adjustRightInd w:val="0"/>
        <w:spacing w:after="0" w:line="240" w:lineRule="auto"/>
      </w:pPr>
      <w:r>
        <w:t>Americans have an average intake of 3,266 mg of salt per day (2007-2008), well above recommended levels</w:t>
      </w:r>
      <w:r w:rsidR="00343571">
        <w:t xml:space="preserve"> (2,300 mg daily)</w:t>
      </w:r>
      <w:r w:rsidR="00343571">
        <w:rPr>
          <w:rStyle w:val="EndnoteReference"/>
        </w:rPr>
        <w:endnoteReference w:id="31"/>
      </w:r>
      <w:r w:rsidR="00343571">
        <w:t>.</w:t>
      </w:r>
      <w:r w:rsidR="009A77BF">
        <w:t xml:space="preserve"> Sodium per calorie consumed (sodium density) was highest in fast food and pizza restaurant settings</w:t>
      </w:r>
      <w:r w:rsidR="009A77BF">
        <w:rPr>
          <w:rStyle w:val="EndnoteReference"/>
        </w:rPr>
        <w:endnoteReference w:id="32"/>
      </w:r>
      <w:r w:rsidR="009A77BF">
        <w:t>.</w:t>
      </w:r>
    </w:p>
    <w:p w:rsidR="00380032" w:rsidRDefault="00380032" w:rsidP="00380032">
      <w:pPr>
        <w:pStyle w:val="ListParagraph"/>
        <w:numPr>
          <w:ilvl w:val="0"/>
          <w:numId w:val="7"/>
        </w:numPr>
        <w:autoSpaceDE w:val="0"/>
        <w:autoSpaceDN w:val="0"/>
        <w:adjustRightInd w:val="0"/>
        <w:spacing w:after="0" w:line="240" w:lineRule="auto"/>
      </w:pPr>
      <w:r>
        <w:t>Higher potassium intake can help lower BP, including use of bananas, potatoes, yogurt and dried beans</w:t>
      </w:r>
      <w:r w:rsidR="003D6CD2">
        <w:t>.</w:t>
      </w:r>
    </w:p>
    <w:p w:rsidR="00F65C25" w:rsidRDefault="00FA6622" w:rsidP="00FA6622">
      <w:pPr>
        <w:pStyle w:val="ListParagraph"/>
        <w:numPr>
          <w:ilvl w:val="0"/>
          <w:numId w:val="4"/>
        </w:numPr>
        <w:autoSpaceDE w:val="0"/>
        <w:autoSpaceDN w:val="0"/>
        <w:adjustRightInd w:val="0"/>
        <w:spacing w:after="0" w:line="240" w:lineRule="auto"/>
      </w:pPr>
      <w:r w:rsidRPr="00380032">
        <w:rPr>
          <w:b/>
        </w:rPr>
        <w:t>Get regular p</w:t>
      </w:r>
      <w:r w:rsidR="002B394D" w:rsidRPr="00380032">
        <w:rPr>
          <w:b/>
        </w:rPr>
        <w:t>hysical activity</w:t>
      </w:r>
      <w:r w:rsidR="0050636C">
        <w:t xml:space="preserve"> of 30 min/</w:t>
      </w:r>
      <w:proofErr w:type="gramStart"/>
      <w:r w:rsidR="0050636C">
        <w:t xml:space="preserve">day </w:t>
      </w:r>
      <w:proofErr w:type="gramEnd"/>
      <w:r w:rsidR="00F65C25">
        <w:rPr>
          <w:rStyle w:val="EndnoteReference"/>
        </w:rPr>
        <w:endnoteReference w:id="33"/>
      </w:r>
      <w:r w:rsidR="002F5A82">
        <w:t>.</w:t>
      </w:r>
    </w:p>
    <w:p w:rsidR="00225F25" w:rsidRDefault="00225F25" w:rsidP="00225F25">
      <w:pPr>
        <w:pStyle w:val="ListParagraph"/>
        <w:numPr>
          <w:ilvl w:val="0"/>
          <w:numId w:val="8"/>
        </w:numPr>
        <w:autoSpaceDE w:val="0"/>
        <w:autoSpaceDN w:val="0"/>
        <w:adjustRightInd w:val="0"/>
        <w:spacing w:after="0" w:line="240" w:lineRule="auto"/>
      </w:pPr>
      <w:r>
        <w:t>Regular aerobic physical activity (e</w:t>
      </w:r>
      <w:r w:rsidR="003D6CD2">
        <w:t>.</w:t>
      </w:r>
      <w:r>
        <w:t>g</w:t>
      </w:r>
      <w:r w:rsidR="003D6CD2">
        <w:t>.</w:t>
      </w:r>
      <w:r>
        <w:t>, brisk walking) for at least 30 minutes a day for most days of the week has been recommended for primary prevention of hypertension</w:t>
      </w:r>
      <w:r w:rsidR="00441771">
        <w:t>.</w:t>
      </w:r>
    </w:p>
    <w:p w:rsidR="00F65C25" w:rsidRDefault="00FA6622" w:rsidP="00FA6622">
      <w:pPr>
        <w:pStyle w:val="ListParagraph"/>
        <w:numPr>
          <w:ilvl w:val="0"/>
          <w:numId w:val="4"/>
        </w:numPr>
        <w:autoSpaceDE w:val="0"/>
        <w:autoSpaceDN w:val="0"/>
        <w:adjustRightInd w:val="0"/>
        <w:spacing w:after="0" w:line="240" w:lineRule="auto"/>
      </w:pPr>
      <w:r w:rsidRPr="00380032">
        <w:rPr>
          <w:b/>
        </w:rPr>
        <w:t>Limit alcohol intake</w:t>
      </w:r>
      <w:r w:rsidR="0050636C">
        <w:t xml:space="preserve"> to 1 drink per day</w:t>
      </w:r>
      <w:r w:rsidR="0027642C">
        <w:t xml:space="preserve"> for women and 2 drinks per </w:t>
      </w:r>
      <w:r w:rsidR="00296F65">
        <w:t>day for men</w:t>
      </w:r>
      <w:r w:rsidR="00F65C25">
        <w:rPr>
          <w:rStyle w:val="EndnoteReference"/>
        </w:rPr>
        <w:endnoteReference w:id="34"/>
      </w:r>
      <w:r w:rsidR="00F65C25">
        <w:t xml:space="preserve">. </w:t>
      </w:r>
    </w:p>
    <w:p w:rsidR="00D56A84" w:rsidRDefault="00D56A84" w:rsidP="00FA6622">
      <w:pPr>
        <w:pStyle w:val="ListParagraph"/>
        <w:numPr>
          <w:ilvl w:val="0"/>
          <w:numId w:val="4"/>
        </w:numPr>
        <w:autoSpaceDE w:val="0"/>
        <w:autoSpaceDN w:val="0"/>
        <w:adjustRightInd w:val="0"/>
        <w:spacing w:after="0" w:line="240" w:lineRule="auto"/>
      </w:pPr>
      <w:r w:rsidRPr="00380032">
        <w:rPr>
          <w:b/>
        </w:rPr>
        <w:t>Eliminate tobacco use</w:t>
      </w:r>
      <w:r>
        <w:rPr>
          <w:rStyle w:val="EndnoteReference"/>
        </w:rPr>
        <w:endnoteReference w:id="35"/>
      </w:r>
      <w:r w:rsidR="00296F65">
        <w:t>.  Smoking raises your blood pressure and increases risk of heart attack</w:t>
      </w:r>
      <w:r w:rsidR="00441771">
        <w:t>.</w:t>
      </w:r>
    </w:p>
    <w:p w:rsidR="00F65C25" w:rsidRDefault="00F65C25" w:rsidP="00F65C25">
      <w:pPr>
        <w:autoSpaceDE w:val="0"/>
        <w:autoSpaceDN w:val="0"/>
        <w:adjustRightInd w:val="0"/>
        <w:spacing w:after="0" w:line="240" w:lineRule="auto"/>
      </w:pPr>
    </w:p>
    <w:p w:rsidR="00F65C25" w:rsidRDefault="0045536B" w:rsidP="00EE79D2">
      <w:pPr>
        <w:autoSpaceDE w:val="0"/>
        <w:autoSpaceDN w:val="0"/>
        <w:adjustRightInd w:val="0"/>
        <w:spacing w:after="0" w:line="240" w:lineRule="auto"/>
      </w:pPr>
      <w:r>
        <w:t>The individual contributions of some of these</w:t>
      </w:r>
      <w:r w:rsidR="00283EF4">
        <w:t xml:space="preserve"> changes can be viewed in </w:t>
      </w:r>
      <w:r w:rsidR="00283EF4">
        <w:fldChar w:fldCharType="begin"/>
      </w:r>
      <w:r w:rsidR="00283EF4">
        <w:instrText xml:space="preserve"> REF _Ref431473696 \h </w:instrText>
      </w:r>
      <w:r w:rsidR="00283EF4">
        <w:fldChar w:fldCharType="separate"/>
      </w:r>
      <w:r w:rsidR="006B3D60">
        <w:t xml:space="preserve">Figure </w:t>
      </w:r>
      <w:r w:rsidR="006B3D60">
        <w:rPr>
          <w:noProof/>
        </w:rPr>
        <w:t>4</w:t>
      </w:r>
      <w:r w:rsidR="00283EF4">
        <w:fldChar w:fldCharType="end"/>
      </w:r>
      <w:r w:rsidR="00283EF4">
        <w:t xml:space="preserve"> </w:t>
      </w:r>
      <w:r>
        <w:t xml:space="preserve"> below.</w:t>
      </w:r>
    </w:p>
    <w:p w:rsidR="00A02FAC" w:rsidRDefault="00A02FAC" w:rsidP="00EE79D2">
      <w:pPr>
        <w:autoSpaceDE w:val="0"/>
        <w:autoSpaceDN w:val="0"/>
        <w:adjustRightInd w:val="0"/>
        <w:spacing w:after="0" w:line="240" w:lineRule="auto"/>
      </w:pPr>
    </w:p>
    <w:p w:rsidR="00057EC2" w:rsidRDefault="00057EC2" w:rsidP="00057EC2">
      <w:pPr>
        <w:pStyle w:val="Caption"/>
        <w:keepNext/>
      </w:pPr>
      <w:bookmarkStart w:id="7" w:name="_Ref431473696"/>
      <w:r>
        <w:lastRenderedPageBreak/>
        <w:t xml:space="preserve">Figure </w:t>
      </w:r>
      <w:fldSimple w:instr=" SEQ Figure \* ARABIC ">
        <w:r w:rsidR="006B3D60">
          <w:rPr>
            <w:noProof/>
          </w:rPr>
          <w:t>4</w:t>
        </w:r>
      </w:fldSimple>
      <w:bookmarkEnd w:id="7"/>
      <w:r>
        <w:t xml:space="preserve"> Lifestyle Modifications to Manage High Blood Pressure</w:t>
      </w:r>
    </w:p>
    <w:p w:rsidR="00F65C25" w:rsidRDefault="00F65C25" w:rsidP="00F65C25">
      <w:pPr>
        <w:autoSpaceDE w:val="0"/>
        <w:autoSpaceDN w:val="0"/>
        <w:adjustRightInd w:val="0"/>
        <w:spacing w:after="0" w:line="240" w:lineRule="auto"/>
      </w:pPr>
      <w:r>
        <w:rPr>
          <w:noProof/>
        </w:rPr>
        <w:drawing>
          <wp:inline distT="0" distB="0" distL="0" distR="0" wp14:anchorId="4209E717" wp14:editId="10F346DC">
            <wp:extent cx="5943600" cy="580704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807048"/>
                    </a:xfrm>
                    <a:prstGeom prst="rect">
                      <a:avLst/>
                    </a:prstGeom>
                    <a:noFill/>
                    <a:ln>
                      <a:noFill/>
                    </a:ln>
                  </pic:spPr>
                </pic:pic>
              </a:graphicData>
            </a:graphic>
          </wp:inline>
        </w:drawing>
      </w:r>
    </w:p>
    <w:p w:rsidR="00F65C25" w:rsidRPr="00AA6F54" w:rsidRDefault="00AA6F54" w:rsidP="00F65C25">
      <w:pPr>
        <w:autoSpaceDE w:val="0"/>
        <w:autoSpaceDN w:val="0"/>
        <w:adjustRightInd w:val="0"/>
        <w:spacing w:after="0" w:line="240" w:lineRule="auto"/>
        <w:rPr>
          <w:sz w:val="16"/>
          <w:szCs w:val="16"/>
        </w:rPr>
      </w:pPr>
      <w:proofErr w:type="gramStart"/>
      <w:r w:rsidRPr="00AA6F54">
        <w:rPr>
          <w:sz w:val="16"/>
          <w:szCs w:val="16"/>
        </w:rPr>
        <w:t>JNC 7 Express.</w:t>
      </w:r>
      <w:proofErr w:type="gramEnd"/>
      <w:r w:rsidRPr="00AA6F54">
        <w:rPr>
          <w:sz w:val="16"/>
          <w:szCs w:val="16"/>
        </w:rPr>
        <w:t xml:space="preserve"> The Seventh Report of the Joint National Committee on </w:t>
      </w:r>
      <w:proofErr w:type="spellStart"/>
      <w:r w:rsidRPr="00AA6F54">
        <w:rPr>
          <w:sz w:val="16"/>
          <w:szCs w:val="16"/>
        </w:rPr>
        <w:t>Prevention</w:t>
      </w:r>
      <w:proofErr w:type="gramStart"/>
      <w:r w:rsidRPr="00AA6F54">
        <w:rPr>
          <w:sz w:val="16"/>
          <w:szCs w:val="16"/>
        </w:rPr>
        <w:t>,Detection,Evaluation</w:t>
      </w:r>
      <w:proofErr w:type="spellEnd"/>
      <w:proofErr w:type="gramEnd"/>
      <w:r w:rsidRPr="00AA6F54">
        <w:rPr>
          <w:sz w:val="16"/>
          <w:szCs w:val="16"/>
        </w:rPr>
        <w:t>, and Treatment of High Blood Pressure</w:t>
      </w:r>
      <w:r>
        <w:rPr>
          <w:sz w:val="16"/>
          <w:szCs w:val="16"/>
        </w:rPr>
        <w:t xml:space="preserve">,2003 </w:t>
      </w:r>
    </w:p>
    <w:p w:rsidR="002B394D" w:rsidRDefault="002B394D" w:rsidP="002B394D">
      <w:pPr>
        <w:autoSpaceDE w:val="0"/>
        <w:autoSpaceDN w:val="0"/>
        <w:adjustRightInd w:val="0"/>
        <w:spacing w:after="0" w:line="240" w:lineRule="auto"/>
      </w:pPr>
    </w:p>
    <w:p w:rsidR="009C43EF" w:rsidRDefault="009C43EF" w:rsidP="002B394D">
      <w:pPr>
        <w:autoSpaceDE w:val="0"/>
        <w:autoSpaceDN w:val="0"/>
        <w:adjustRightInd w:val="0"/>
        <w:spacing w:after="0" w:line="240" w:lineRule="auto"/>
      </w:pPr>
    </w:p>
    <w:p w:rsidR="00A12C43" w:rsidRDefault="00A12C43">
      <w:r>
        <w:br w:type="page"/>
      </w:r>
    </w:p>
    <w:p w:rsidR="009C43EF" w:rsidRDefault="00A12C43" w:rsidP="00A12C43">
      <w:pPr>
        <w:pStyle w:val="Heading2"/>
      </w:pPr>
      <w:r>
        <w:lastRenderedPageBreak/>
        <w:t>Sources</w:t>
      </w:r>
    </w:p>
    <w:sectPr w:rsidR="009C43EF" w:rsidSect="00854780">
      <w:headerReference w:type="default" r:id="rId13"/>
      <w:footerReference w:type="default" r:id="rId14"/>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2C" w:rsidRDefault="0070222C" w:rsidP="00386220">
      <w:pPr>
        <w:spacing w:after="0" w:line="240" w:lineRule="auto"/>
      </w:pPr>
      <w:r>
        <w:separator/>
      </w:r>
    </w:p>
  </w:endnote>
  <w:endnote w:type="continuationSeparator" w:id="0">
    <w:p w:rsidR="0070222C" w:rsidRDefault="0070222C" w:rsidP="00386220">
      <w:pPr>
        <w:spacing w:after="0" w:line="240" w:lineRule="auto"/>
      </w:pPr>
      <w:r>
        <w:continuationSeparator/>
      </w:r>
    </w:p>
  </w:endnote>
  <w:endnote w:id="1">
    <w:p w:rsidR="00E05DFD" w:rsidRDefault="00E05DFD">
      <w:pPr>
        <w:pStyle w:val="EndnoteText"/>
      </w:pPr>
      <w:r>
        <w:rPr>
          <w:rStyle w:val="EndnoteReference"/>
        </w:rPr>
        <w:endnoteRef/>
      </w:r>
      <w:r>
        <w:t xml:space="preserve"> </w:t>
      </w:r>
      <w:proofErr w:type="gramStart"/>
      <w:r w:rsidRPr="001F7236">
        <w:t>JNC 7 Express.</w:t>
      </w:r>
      <w:proofErr w:type="gramEnd"/>
      <w:r w:rsidRPr="001F7236">
        <w:t xml:space="preserve"> The Seventh Report of the Joint National Committee on </w:t>
      </w:r>
      <w:proofErr w:type="spellStart"/>
      <w:r w:rsidRPr="001F7236">
        <w:t>Prevention</w:t>
      </w:r>
      <w:proofErr w:type="gramStart"/>
      <w:r w:rsidRPr="001F7236">
        <w:t>,Detection,Evaluation</w:t>
      </w:r>
      <w:proofErr w:type="spellEnd"/>
      <w:proofErr w:type="gramEnd"/>
      <w:r w:rsidRPr="001F7236">
        <w:t>, and Treatment of High</w:t>
      </w:r>
      <w:r w:rsidR="00004B83">
        <w:t xml:space="preserve"> Blood Pressure. U.S. Department of Health and Human Services, National Institutes of Health, National Heart, Lung, and Blood Institute, NIH Publication No. 03-5233</w:t>
      </w:r>
      <w:r w:rsidRPr="001F7236">
        <w:t>, December 2003</w:t>
      </w:r>
      <w:r>
        <w:t>, page 2</w:t>
      </w:r>
    </w:p>
  </w:endnote>
  <w:endnote w:id="2">
    <w:p w:rsidR="00E05DFD" w:rsidRDefault="00E05DFD" w:rsidP="00386220">
      <w:pPr>
        <w:pStyle w:val="EndnoteText"/>
      </w:pPr>
      <w:r>
        <w:rPr>
          <w:rStyle w:val="EndnoteReference"/>
        </w:rPr>
        <w:endnoteRef/>
      </w:r>
      <w:r>
        <w:t xml:space="preserve"> </w:t>
      </w:r>
      <w:proofErr w:type="spellStart"/>
      <w:r>
        <w:t>Vasan</w:t>
      </w:r>
      <w:proofErr w:type="spellEnd"/>
      <w:r>
        <w:t xml:space="preserve"> RS, Larson MG, </w:t>
      </w:r>
      <w:proofErr w:type="spellStart"/>
      <w:r>
        <w:t>Leip</w:t>
      </w:r>
      <w:proofErr w:type="spellEnd"/>
      <w:r>
        <w:t xml:space="preserve"> EP, et al. Assessment of frequency of progression to hypertension</w:t>
      </w:r>
    </w:p>
    <w:p w:rsidR="00E05DFD" w:rsidRDefault="00E05DFD" w:rsidP="00386220">
      <w:pPr>
        <w:pStyle w:val="EndnoteText"/>
      </w:pPr>
      <w:r>
        <w:t xml:space="preserve">in </w:t>
      </w:r>
      <w:proofErr w:type="spellStart"/>
      <w:r>
        <w:t>nonhypertensive</w:t>
      </w:r>
      <w:proofErr w:type="spellEnd"/>
      <w:r>
        <w:t xml:space="preserve"> participants in the Framingham Heart Study:</w:t>
      </w:r>
    </w:p>
    <w:p w:rsidR="00E05DFD" w:rsidRDefault="00E05DFD" w:rsidP="00386220">
      <w:pPr>
        <w:pStyle w:val="EndnoteText"/>
      </w:pPr>
      <w:proofErr w:type="gramStart"/>
      <w:r>
        <w:t>A cohort study.</w:t>
      </w:r>
      <w:proofErr w:type="gramEnd"/>
      <w:r>
        <w:t xml:space="preserve"> </w:t>
      </w:r>
      <w:proofErr w:type="gramStart"/>
      <w:r w:rsidRPr="004161C5">
        <w:rPr>
          <w:i/>
        </w:rPr>
        <w:t>Lancet.</w:t>
      </w:r>
      <w:proofErr w:type="gramEnd"/>
      <w:r w:rsidRPr="004161C5">
        <w:rPr>
          <w:i/>
        </w:rPr>
        <w:t xml:space="preserve"> </w:t>
      </w:r>
      <w:r>
        <w:t>2001</w:t>
      </w:r>
      <w:proofErr w:type="gramStart"/>
      <w:r>
        <w:t>;358:1682</w:t>
      </w:r>
      <w:proofErr w:type="gramEnd"/>
      <w:r>
        <w:t>-6. F</w:t>
      </w:r>
    </w:p>
  </w:endnote>
  <w:endnote w:id="3">
    <w:p w:rsidR="00E05DFD" w:rsidRPr="006C4DC6" w:rsidRDefault="00E05DFD">
      <w:pPr>
        <w:pStyle w:val="EndnoteText"/>
      </w:pPr>
      <w:r>
        <w:rPr>
          <w:rStyle w:val="EndnoteReference"/>
        </w:rPr>
        <w:endnoteRef/>
      </w:r>
      <w:r>
        <w:t xml:space="preserve"> 2013 Heart Disease and Stroke Statistics—2013 Update. </w:t>
      </w:r>
      <w:proofErr w:type="gramStart"/>
      <w:r>
        <w:t>A Report from the American Heart Association, Chapter 9 High Blood Pressure.</w:t>
      </w:r>
      <w:proofErr w:type="gramEnd"/>
      <w:r>
        <w:t xml:space="preserve"> </w:t>
      </w:r>
      <w:r w:rsidRPr="006C4DC6">
        <w:rPr>
          <w:i/>
        </w:rPr>
        <w:t>Circulation</w:t>
      </w:r>
      <w:r>
        <w:t>, 2013; 127:e6-e245.</w:t>
      </w:r>
    </w:p>
  </w:endnote>
  <w:endnote w:id="4">
    <w:p w:rsidR="00E05DFD" w:rsidRDefault="00E05DFD">
      <w:pPr>
        <w:pStyle w:val="EndnoteText"/>
      </w:pPr>
      <w:r>
        <w:rPr>
          <w:rStyle w:val="EndnoteReference"/>
        </w:rPr>
        <w:endnoteRef/>
      </w:r>
      <w:r>
        <w:t xml:space="preserve"> Falkner, B. Hypertension in children and adolescents: epidemiology and natural history. </w:t>
      </w:r>
      <w:proofErr w:type="spellStart"/>
      <w:r w:rsidRPr="00243045">
        <w:rPr>
          <w:i/>
        </w:rPr>
        <w:t>Ped</w:t>
      </w:r>
      <w:proofErr w:type="spellEnd"/>
      <w:r w:rsidRPr="00243045">
        <w:rPr>
          <w:i/>
        </w:rPr>
        <w:t xml:space="preserve"> Nephrology</w:t>
      </w:r>
      <w:r>
        <w:t>, 2010:25:1219-1224.</w:t>
      </w:r>
    </w:p>
  </w:endnote>
  <w:endnote w:id="5">
    <w:p w:rsidR="00E05DFD" w:rsidRDefault="00E05DFD" w:rsidP="00896505">
      <w:pPr>
        <w:pStyle w:val="EndnoteText"/>
      </w:pPr>
      <w:r>
        <w:rPr>
          <w:rStyle w:val="EndnoteReference"/>
        </w:rPr>
        <w:endnoteRef/>
      </w:r>
      <w:r>
        <w:t xml:space="preserve"> </w:t>
      </w:r>
      <w:proofErr w:type="gramStart"/>
      <w:r>
        <w:t xml:space="preserve">Cherry DK, </w:t>
      </w:r>
      <w:proofErr w:type="spellStart"/>
      <w:r>
        <w:t>Woodwell</w:t>
      </w:r>
      <w:proofErr w:type="spellEnd"/>
      <w:r>
        <w:t xml:space="preserve"> DA.</w:t>
      </w:r>
      <w:proofErr w:type="gramEnd"/>
      <w:r>
        <w:t xml:space="preserve"> National Ambulatory Medical Care Survey: 2000 Summary.</w:t>
      </w:r>
    </w:p>
    <w:p w:rsidR="00E05DFD" w:rsidRDefault="00E05DFD" w:rsidP="00896505">
      <w:pPr>
        <w:pStyle w:val="EndnoteText"/>
      </w:pPr>
      <w:r>
        <w:t>Advance Data. 2002</w:t>
      </w:r>
      <w:proofErr w:type="gramStart"/>
      <w:r>
        <w:t>;328</w:t>
      </w:r>
      <w:proofErr w:type="gramEnd"/>
      <w:r>
        <w:t>.</w:t>
      </w:r>
    </w:p>
  </w:endnote>
  <w:endnote w:id="6">
    <w:p w:rsidR="00E05DFD" w:rsidRDefault="00E05DFD">
      <w:pPr>
        <w:pStyle w:val="EndnoteText"/>
      </w:pPr>
      <w:r>
        <w:rPr>
          <w:rStyle w:val="EndnoteReference"/>
        </w:rPr>
        <w:endnoteRef/>
      </w:r>
      <w:r>
        <w:t xml:space="preserve"> AHA 2013 Heart Disease and Stroke Statistics, </w:t>
      </w:r>
      <w:proofErr w:type="spellStart"/>
      <w:r>
        <w:t>Op.Cit</w:t>
      </w:r>
      <w:proofErr w:type="spellEnd"/>
      <w:r>
        <w:t>.</w:t>
      </w:r>
    </w:p>
  </w:endnote>
  <w:endnote w:id="7">
    <w:p w:rsidR="00E05DFD" w:rsidRDefault="00E05DFD">
      <w:pPr>
        <w:pStyle w:val="EndnoteText"/>
      </w:pPr>
      <w:r>
        <w:rPr>
          <w:rStyle w:val="EndnoteReference"/>
        </w:rPr>
        <w:endnoteRef/>
      </w:r>
      <w:r>
        <w:t xml:space="preserve"> </w:t>
      </w:r>
      <w:proofErr w:type="gramStart"/>
      <w:r>
        <w:t>AHA 2013 Heart Disease and Stroke Statistics.</w:t>
      </w:r>
      <w:proofErr w:type="gramEnd"/>
      <w:r w:rsidRPr="004161C5">
        <w:t xml:space="preserve"> </w:t>
      </w:r>
      <w:proofErr w:type="spellStart"/>
      <w:proofErr w:type="gramStart"/>
      <w:r w:rsidRPr="004161C5">
        <w:t>Op.Cit</w:t>
      </w:r>
      <w:proofErr w:type="spellEnd"/>
      <w:r w:rsidRPr="004161C5">
        <w:t>.</w:t>
      </w:r>
      <w:proofErr w:type="gramEnd"/>
    </w:p>
  </w:endnote>
  <w:endnote w:id="8">
    <w:p w:rsidR="00E05DFD" w:rsidRDefault="00E05DFD">
      <w:pPr>
        <w:pStyle w:val="EndnoteText"/>
      </w:pPr>
      <w:r>
        <w:rPr>
          <w:rStyle w:val="EndnoteReference"/>
        </w:rPr>
        <w:endnoteRef/>
      </w:r>
      <w:r>
        <w:t xml:space="preserve"> </w:t>
      </w:r>
      <w:proofErr w:type="spellStart"/>
      <w:r>
        <w:t>Ostchega</w:t>
      </w:r>
      <w:proofErr w:type="spellEnd"/>
      <w:r>
        <w:t xml:space="preserve"> Y, Carroll M, </w:t>
      </w:r>
      <w:proofErr w:type="spellStart"/>
      <w:r>
        <w:t>Prineas</w:t>
      </w:r>
      <w:proofErr w:type="spellEnd"/>
      <w:r>
        <w:t xml:space="preserve">, RJ et al. Trends of elevated blood pressure among children and adolescents: data from the NHANES survey 1988-2006. Am J </w:t>
      </w:r>
      <w:proofErr w:type="spellStart"/>
      <w:r>
        <w:t>Hypertens</w:t>
      </w:r>
      <w:proofErr w:type="spellEnd"/>
      <w:r>
        <w:t>, 2009</w:t>
      </w:r>
      <w:proofErr w:type="gramStart"/>
      <w:r>
        <w:t>;22:59</w:t>
      </w:r>
      <w:proofErr w:type="gramEnd"/>
      <w:r>
        <w:t>-67.</w:t>
      </w:r>
    </w:p>
  </w:endnote>
  <w:endnote w:id="9">
    <w:p w:rsidR="00E05DFD" w:rsidRDefault="00E05DFD">
      <w:pPr>
        <w:pStyle w:val="EndnoteText"/>
      </w:pPr>
      <w:r>
        <w:rPr>
          <w:rStyle w:val="EndnoteReference"/>
        </w:rPr>
        <w:endnoteRef/>
      </w:r>
      <w:r>
        <w:t xml:space="preserve"> May </w:t>
      </w:r>
      <w:proofErr w:type="gramStart"/>
      <w:r>
        <w:t>AM</w:t>
      </w:r>
      <w:proofErr w:type="gramEnd"/>
      <w:r>
        <w:t xml:space="preserve">, </w:t>
      </w:r>
      <w:proofErr w:type="spellStart"/>
      <w:r>
        <w:t>Kuklina</w:t>
      </w:r>
      <w:proofErr w:type="spellEnd"/>
      <w:r>
        <w:t xml:space="preserve"> </w:t>
      </w:r>
      <w:proofErr w:type="spellStart"/>
      <w:r>
        <w:t>Ev</w:t>
      </w:r>
      <w:proofErr w:type="spellEnd"/>
      <w:r>
        <w:t xml:space="preserve">, Yoon PW. </w:t>
      </w:r>
      <w:proofErr w:type="gramStart"/>
      <w:r>
        <w:t>Prevalence of cardiovascular risk factors among U.S. adolescents, 1999-2008.</w:t>
      </w:r>
      <w:proofErr w:type="gramEnd"/>
      <w:r>
        <w:t xml:space="preserve"> </w:t>
      </w:r>
      <w:r w:rsidRPr="0007323A">
        <w:rPr>
          <w:i/>
        </w:rPr>
        <w:t>Pediatrics</w:t>
      </w:r>
      <w:r>
        <w:t>, 2002; 129:1035-1041.</w:t>
      </w:r>
    </w:p>
  </w:endnote>
  <w:endnote w:id="10">
    <w:p w:rsidR="002F65CF" w:rsidRDefault="002F65CF">
      <w:pPr>
        <w:pStyle w:val="EndnoteText"/>
      </w:pPr>
      <w:r>
        <w:rPr>
          <w:rStyle w:val="EndnoteReference"/>
        </w:rPr>
        <w:endnoteRef/>
      </w:r>
      <w:proofErr w:type="gramStart"/>
      <w:r>
        <w:t>Centers for Disease Control and Prevention (2015).</w:t>
      </w:r>
      <w:proofErr w:type="gramEnd"/>
      <w:r>
        <w:t xml:space="preserve"> </w:t>
      </w:r>
      <w:proofErr w:type="gramStart"/>
      <w:r>
        <w:t>BRFSS Prevalence &amp; Trends Data.</w:t>
      </w:r>
      <w:proofErr w:type="gramEnd"/>
      <w:r>
        <w:t xml:space="preserve"> </w:t>
      </w:r>
      <w:r w:rsidR="0019224B">
        <w:t xml:space="preserve">Retrieved from: </w:t>
      </w:r>
      <w:hyperlink r:id="rId1" w:history="1">
        <w:r w:rsidR="007A6F4A" w:rsidRPr="007A6F4A">
          <w:rPr>
            <w:rStyle w:val="Hyperlink"/>
          </w:rPr>
          <w:t>http://www.cdc.gov/brfss/brfssprevalence/index.html</w:t>
        </w:r>
      </w:hyperlink>
    </w:p>
  </w:endnote>
  <w:endnote w:id="11">
    <w:p w:rsidR="00974B6A" w:rsidRDefault="00974B6A">
      <w:pPr>
        <w:pStyle w:val="EndnoteText"/>
      </w:pPr>
      <w:r>
        <w:rPr>
          <w:rStyle w:val="EndnoteReference"/>
        </w:rPr>
        <w:endnoteRef/>
      </w:r>
      <w:r>
        <w:t xml:space="preserve"> </w:t>
      </w:r>
      <w:proofErr w:type="gramStart"/>
      <w:r>
        <w:t>U.S. Census Bureau (2013).</w:t>
      </w:r>
      <w:proofErr w:type="gramEnd"/>
      <w:r>
        <w:t xml:space="preserve"> </w:t>
      </w:r>
      <w:r w:rsidRPr="00974B6A">
        <w:t xml:space="preserve">2009-2013 </w:t>
      </w:r>
      <w:proofErr w:type="gramStart"/>
      <w:r w:rsidRPr="00974B6A">
        <w:t>5-Year</w:t>
      </w:r>
      <w:proofErr w:type="gramEnd"/>
      <w:r w:rsidRPr="00974B6A">
        <w:t xml:space="preserve"> American Community Survey</w:t>
      </w:r>
      <w:r>
        <w:t xml:space="preserve">.  Retrieved from: </w:t>
      </w:r>
      <w:hyperlink r:id="rId2" w:history="1">
        <w:r w:rsidRPr="00974B6A">
          <w:rPr>
            <w:rStyle w:val="Hyperlink"/>
          </w:rPr>
          <w:t>http://factfinder.census.gov/faces/nav/jsf/pages/index.xhtml</w:t>
        </w:r>
      </w:hyperlink>
    </w:p>
  </w:endnote>
  <w:endnote w:id="12">
    <w:p w:rsidR="00E05DFD" w:rsidRDefault="00E05DFD" w:rsidP="00F85503">
      <w:pPr>
        <w:pStyle w:val="EndnoteText"/>
      </w:pPr>
      <w:r>
        <w:rPr>
          <w:rStyle w:val="EndnoteReference"/>
        </w:rPr>
        <w:endnoteRef/>
      </w:r>
      <w:r>
        <w:t xml:space="preserve"> </w:t>
      </w:r>
      <w:proofErr w:type="spellStart"/>
      <w:r>
        <w:t>Whelton</w:t>
      </w:r>
      <w:proofErr w:type="spellEnd"/>
      <w:r>
        <w:t xml:space="preserve"> PK, He J, Appel LJ, et al.2002</w:t>
      </w:r>
      <w:proofErr w:type="gramStart"/>
      <w:r>
        <w:t>;288:1882</w:t>
      </w:r>
      <w:proofErr w:type="gramEnd"/>
      <w:r>
        <w:t>-8.</w:t>
      </w:r>
    </w:p>
  </w:endnote>
  <w:endnote w:id="13">
    <w:p w:rsidR="00E05DFD" w:rsidRDefault="00E05DFD">
      <w:pPr>
        <w:pStyle w:val="EndnoteText"/>
      </w:pPr>
      <w:r>
        <w:rPr>
          <w:rStyle w:val="EndnoteReference"/>
        </w:rPr>
        <w:endnoteRef/>
      </w:r>
      <w:r>
        <w:t xml:space="preserve"> Cook NR, Cohen J, Herbert PR, Taylor JO, </w:t>
      </w:r>
      <w:proofErr w:type="spellStart"/>
      <w:r>
        <w:t>Hennekens</w:t>
      </w:r>
      <w:proofErr w:type="spellEnd"/>
      <w:r>
        <w:t xml:space="preserve"> CH.  </w:t>
      </w:r>
      <w:proofErr w:type="gramStart"/>
      <w:r>
        <w:t>Implications of small reductions in diastolic pressure for primary prevention.</w:t>
      </w:r>
      <w:proofErr w:type="gramEnd"/>
      <w:r>
        <w:t xml:space="preserve"> </w:t>
      </w:r>
      <w:proofErr w:type="gramStart"/>
      <w:r>
        <w:t>Arch Intern.</w:t>
      </w:r>
      <w:proofErr w:type="gramEnd"/>
      <w:r>
        <w:t xml:space="preserve"> Med, 1995</w:t>
      </w:r>
      <w:proofErr w:type="gramStart"/>
      <w:r>
        <w:t>;155:701</w:t>
      </w:r>
      <w:proofErr w:type="gramEnd"/>
      <w:r>
        <w:t>-709.</w:t>
      </w:r>
    </w:p>
  </w:endnote>
  <w:endnote w:id="14">
    <w:p w:rsidR="00E05DFD" w:rsidRPr="001F7236" w:rsidRDefault="00E05DFD" w:rsidP="0070532E">
      <w:pPr>
        <w:pStyle w:val="NoSpacing"/>
        <w:rPr>
          <w:rStyle w:val="EndnoteReference"/>
        </w:rPr>
      </w:pPr>
      <w:r w:rsidRPr="001F7236">
        <w:rPr>
          <w:rStyle w:val="EndnoteReference"/>
        </w:rPr>
        <w:endnoteRef/>
      </w:r>
      <w:r w:rsidRPr="001F7236">
        <w:rPr>
          <w:rStyle w:val="EndnoteReference"/>
        </w:rPr>
        <w:t xml:space="preserve"> </w:t>
      </w:r>
      <w:proofErr w:type="gramStart"/>
      <w:r w:rsidRPr="004161C5">
        <w:rPr>
          <w:sz w:val="20"/>
          <w:szCs w:val="20"/>
        </w:rPr>
        <w:t>JNC 7 Express.</w:t>
      </w:r>
      <w:proofErr w:type="gramEnd"/>
      <w:r w:rsidRPr="004161C5">
        <w:rPr>
          <w:sz w:val="20"/>
          <w:szCs w:val="20"/>
        </w:rPr>
        <w:t xml:space="preserve"> The Seventh Report of the Joint National Committee on </w:t>
      </w:r>
      <w:proofErr w:type="spellStart"/>
      <w:r w:rsidRPr="004161C5">
        <w:rPr>
          <w:sz w:val="20"/>
          <w:szCs w:val="20"/>
        </w:rPr>
        <w:t>Prevention</w:t>
      </w:r>
      <w:proofErr w:type="gramStart"/>
      <w:r w:rsidRPr="004161C5">
        <w:rPr>
          <w:sz w:val="20"/>
          <w:szCs w:val="20"/>
        </w:rPr>
        <w:t>,Detection,Evaluation</w:t>
      </w:r>
      <w:proofErr w:type="spellEnd"/>
      <w:proofErr w:type="gramEnd"/>
      <w:r w:rsidRPr="004161C5">
        <w:rPr>
          <w:sz w:val="20"/>
          <w:szCs w:val="20"/>
        </w:rPr>
        <w:t>, and Treatment of High Blood Pressure.</w:t>
      </w:r>
      <w:r w:rsidR="00004B83" w:rsidRPr="00004B83">
        <w:t xml:space="preserve"> </w:t>
      </w:r>
      <w:r w:rsidR="00004B83" w:rsidRPr="00004B83">
        <w:rPr>
          <w:sz w:val="20"/>
          <w:szCs w:val="20"/>
        </w:rPr>
        <w:t>U.S. Department of Health and Human Services, National Institutes of Health, National Heart, Lung, and Blood Institute, NIH Publication No. 03-5233</w:t>
      </w:r>
      <w:r w:rsidRPr="004161C5">
        <w:rPr>
          <w:sz w:val="20"/>
          <w:szCs w:val="20"/>
        </w:rPr>
        <w:t>, December 2003</w:t>
      </w:r>
      <w:r>
        <w:rPr>
          <w:sz w:val="20"/>
          <w:szCs w:val="20"/>
        </w:rPr>
        <w:t>.</w:t>
      </w:r>
    </w:p>
  </w:endnote>
  <w:endnote w:id="15">
    <w:p w:rsidR="00E05DFD" w:rsidRDefault="00E05DFD">
      <w:pPr>
        <w:pStyle w:val="EndnoteText"/>
      </w:pPr>
      <w:r>
        <w:rPr>
          <w:rStyle w:val="EndnoteReference"/>
        </w:rPr>
        <w:endnoteRef/>
      </w:r>
      <w:r>
        <w:t xml:space="preserve"> </w:t>
      </w:r>
      <w:proofErr w:type="spellStart"/>
      <w:r>
        <w:t>Lewington</w:t>
      </w:r>
      <w:proofErr w:type="spellEnd"/>
      <w:r>
        <w:t xml:space="preserve"> S., Clarke R, </w:t>
      </w:r>
      <w:proofErr w:type="spellStart"/>
      <w:r>
        <w:t>Qizibash</w:t>
      </w:r>
      <w:proofErr w:type="spellEnd"/>
      <w:r>
        <w:t xml:space="preserve"> N, </w:t>
      </w:r>
      <w:proofErr w:type="spellStart"/>
      <w:r>
        <w:t>Peto</w:t>
      </w:r>
      <w:proofErr w:type="spellEnd"/>
      <w:r>
        <w:t xml:space="preserve">, Collins R.  Age-Specific relevance of usual blood pressure to vascular mortality: a </w:t>
      </w:r>
      <w:proofErr w:type="spellStart"/>
      <w:proofErr w:type="gramStart"/>
      <w:r>
        <w:t>meta</w:t>
      </w:r>
      <w:proofErr w:type="gramEnd"/>
      <w:r>
        <w:t xml:space="preserve"> analysis</w:t>
      </w:r>
      <w:proofErr w:type="spellEnd"/>
      <w:r>
        <w:t xml:space="preserve"> of individual data for one million adults in 61 prospective studies. </w:t>
      </w:r>
      <w:proofErr w:type="gramStart"/>
      <w:r>
        <w:t>Prospective Studies Collaboration</w:t>
      </w:r>
      <w:r w:rsidRPr="004161C5">
        <w:rPr>
          <w:i/>
        </w:rPr>
        <w:t>.</w:t>
      </w:r>
      <w:proofErr w:type="gramEnd"/>
      <w:r w:rsidRPr="004161C5">
        <w:rPr>
          <w:i/>
        </w:rPr>
        <w:t xml:space="preserve"> Lancet</w:t>
      </w:r>
      <w:r>
        <w:t>, 2002</w:t>
      </w:r>
      <w:proofErr w:type="gramStart"/>
      <w:r>
        <w:t>;360:1903</w:t>
      </w:r>
      <w:proofErr w:type="gramEnd"/>
      <w:r>
        <w:t>-1913.</w:t>
      </w:r>
    </w:p>
  </w:endnote>
  <w:endnote w:id="16">
    <w:p w:rsidR="00E05DFD" w:rsidRDefault="00E05DFD" w:rsidP="0070532E">
      <w:pPr>
        <w:pStyle w:val="EndnoteText"/>
      </w:pPr>
      <w:r>
        <w:rPr>
          <w:rStyle w:val="EndnoteReference"/>
        </w:rPr>
        <w:endnoteRef/>
      </w:r>
      <w:r>
        <w:t xml:space="preserve"> </w:t>
      </w:r>
      <w:proofErr w:type="gramStart"/>
      <w:r w:rsidRPr="001F7236">
        <w:t>JNC 7 Express.</w:t>
      </w:r>
      <w:proofErr w:type="gramEnd"/>
      <w:r w:rsidRPr="001F7236">
        <w:t xml:space="preserve"> The Seventh Report of the Joint National Committee on </w:t>
      </w:r>
      <w:proofErr w:type="spellStart"/>
      <w:r w:rsidRPr="001F7236">
        <w:t>Prevention</w:t>
      </w:r>
      <w:proofErr w:type="gramStart"/>
      <w:r w:rsidRPr="001F7236">
        <w:t>,Detection,Evaluation</w:t>
      </w:r>
      <w:proofErr w:type="spellEnd"/>
      <w:proofErr w:type="gramEnd"/>
      <w:r w:rsidRPr="001F7236">
        <w:t>, and Treatment of High Blood Pressure.</w:t>
      </w:r>
      <w:r w:rsidR="00004B83">
        <w:t xml:space="preserve"> </w:t>
      </w:r>
      <w:r w:rsidR="00004B83" w:rsidRPr="00004B83">
        <w:t>U.S. Department of Health and Human Services, National Institutes of Health, National Heart, Lung, and Blood Institute, NIH Publication No. 03-5233</w:t>
      </w:r>
      <w:r w:rsidRPr="001F7236">
        <w:t>, December 2003</w:t>
      </w:r>
    </w:p>
  </w:endnote>
  <w:endnote w:id="17">
    <w:p w:rsidR="00E05DFD" w:rsidRDefault="00E05DFD">
      <w:pPr>
        <w:pStyle w:val="EndnoteText"/>
      </w:pPr>
      <w:r>
        <w:rPr>
          <w:rStyle w:val="EndnoteReference"/>
        </w:rPr>
        <w:endnoteRef/>
      </w:r>
      <w:r>
        <w:t xml:space="preserve"> </w:t>
      </w:r>
      <w:proofErr w:type="gramStart"/>
      <w:r>
        <w:t>Clinical and Public Health Advisory from the National High Blood Pressure Education Program.</w:t>
      </w:r>
      <w:proofErr w:type="gramEnd"/>
      <w:r>
        <w:t xml:space="preserve"> </w:t>
      </w:r>
      <w:r w:rsidRPr="004161C5">
        <w:rPr>
          <w:i/>
        </w:rPr>
        <w:t>JAMA</w:t>
      </w:r>
      <w:r>
        <w:t>, 2002</w:t>
      </w:r>
      <w:proofErr w:type="gramStart"/>
      <w:r>
        <w:t>;288</w:t>
      </w:r>
      <w:proofErr w:type="gramEnd"/>
      <w:r>
        <w:t>(15):1882-1888.</w:t>
      </w:r>
    </w:p>
  </w:endnote>
  <w:endnote w:id="18">
    <w:p w:rsidR="00E05DFD" w:rsidRDefault="00E05DFD">
      <w:pPr>
        <w:pStyle w:val="EndnoteText"/>
      </w:pPr>
      <w:r>
        <w:rPr>
          <w:rStyle w:val="EndnoteReference"/>
        </w:rPr>
        <w:endnoteRef/>
      </w:r>
      <w:r>
        <w:t xml:space="preserve"> Wolf Tracy, Miller T, Evidence for the reaffirmation of the U.S. Preventive services Task Force recommendation on screening for high blood pressure. </w:t>
      </w:r>
      <w:r w:rsidRPr="004161C5">
        <w:rPr>
          <w:i/>
        </w:rPr>
        <w:t>Ann Intern Med</w:t>
      </w:r>
      <w:r>
        <w:t>, 2007</w:t>
      </w:r>
      <w:proofErr w:type="gramStart"/>
      <w:r>
        <w:t>;147:787</w:t>
      </w:r>
      <w:proofErr w:type="gramEnd"/>
      <w:r>
        <w:t>-791.</w:t>
      </w:r>
    </w:p>
  </w:endnote>
  <w:endnote w:id="19">
    <w:p w:rsidR="00E05DFD" w:rsidRDefault="00E05DFD">
      <w:pPr>
        <w:pStyle w:val="EndnoteText"/>
      </w:pPr>
      <w:r>
        <w:rPr>
          <w:rStyle w:val="EndnoteReference"/>
        </w:rPr>
        <w:endnoteRef/>
      </w:r>
      <w:r>
        <w:t xml:space="preserve"> </w:t>
      </w:r>
      <w:r w:rsidRPr="00225F25">
        <w:t xml:space="preserve">AHA 2013 Heart Disease and Stroke Statistics, </w:t>
      </w:r>
      <w:proofErr w:type="spellStart"/>
      <w:r w:rsidRPr="00225F25">
        <w:t>Op.Cit</w:t>
      </w:r>
      <w:proofErr w:type="spellEnd"/>
      <w:r>
        <w:t xml:space="preserve">. </w:t>
      </w:r>
      <w:proofErr w:type="spellStart"/>
      <w:proofErr w:type="gramStart"/>
      <w:r>
        <w:t>pg</w:t>
      </w:r>
      <w:proofErr w:type="spellEnd"/>
      <w:r>
        <w:t xml:space="preserve"> e80.</w:t>
      </w:r>
      <w:proofErr w:type="gramEnd"/>
    </w:p>
  </w:endnote>
  <w:endnote w:id="20">
    <w:p w:rsidR="00E05DFD" w:rsidRDefault="00E05DFD" w:rsidP="002B394D">
      <w:pPr>
        <w:pStyle w:val="EndnoteText"/>
      </w:pPr>
      <w:r>
        <w:rPr>
          <w:rStyle w:val="EndnoteReference"/>
        </w:rPr>
        <w:endnoteRef/>
      </w:r>
      <w:r>
        <w:t xml:space="preserve"> </w:t>
      </w:r>
      <w:proofErr w:type="gramStart"/>
      <w:r>
        <w:t>National High Blood Pressure Education Program.</w:t>
      </w:r>
      <w:proofErr w:type="gramEnd"/>
      <w:r>
        <w:t xml:space="preserve"> </w:t>
      </w:r>
      <w:proofErr w:type="gramStart"/>
      <w:r>
        <w:t>The sixth report of the Joint National Committee on Prevention, Detection, Evaluation, and Treatment of High Blood Pressure.</w:t>
      </w:r>
      <w:proofErr w:type="gramEnd"/>
      <w:r>
        <w:t xml:space="preserve"> </w:t>
      </w:r>
      <w:r w:rsidRPr="004161C5">
        <w:rPr>
          <w:i/>
        </w:rPr>
        <w:t>Arch Intern Med</w:t>
      </w:r>
      <w:r>
        <w:t>. 1997</w:t>
      </w:r>
      <w:proofErr w:type="gramStart"/>
      <w:r>
        <w:t>;157:2413</w:t>
      </w:r>
      <w:proofErr w:type="gramEnd"/>
      <w:r>
        <w:t xml:space="preserve">-46. Unpublished NHANES data for 1999–2000 computed by M. </w:t>
      </w:r>
      <w:proofErr w:type="spellStart"/>
      <w:r>
        <w:t>Wolz</w:t>
      </w:r>
      <w:proofErr w:type="spellEnd"/>
      <w:r>
        <w:t xml:space="preserve">, National Heart, </w:t>
      </w:r>
      <w:proofErr w:type="spellStart"/>
      <w:r>
        <w:t>Lung,and</w:t>
      </w:r>
      <w:proofErr w:type="spellEnd"/>
      <w:r>
        <w:t xml:space="preserve"> Blood Institute; JNC 6.1</w:t>
      </w:r>
    </w:p>
  </w:endnote>
  <w:endnote w:id="21">
    <w:p w:rsidR="00E05DFD" w:rsidRDefault="00E05DFD" w:rsidP="002554C0">
      <w:pPr>
        <w:pStyle w:val="EndnoteText"/>
      </w:pPr>
      <w:r>
        <w:rPr>
          <w:rStyle w:val="EndnoteReference"/>
        </w:rPr>
        <w:endnoteRef/>
      </w:r>
      <w:r>
        <w:t xml:space="preserve"> Neal B, </w:t>
      </w:r>
      <w:proofErr w:type="spellStart"/>
      <w:r>
        <w:t>MacMahon</w:t>
      </w:r>
      <w:proofErr w:type="spellEnd"/>
      <w:r>
        <w:t xml:space="preserve"> S, Chapman N. Effects of ACE inhibitors, calcium antagonists, and other blood-pressure-lowering drugs: Results of prospectively designed overviews of randomized trials. </w:t>
      </w:r>
      <w:proofErr w:type="gramStart"/>
      <w:r>
        <w:t xml:space="preserve">Blood Pressure Lowering Treatment </w:t>
      </w:r>
      <w:proofErr w:type="spellStart"/>
      <w:r>
        <w:t>Trialists</w:t>
      </w:r>
      <w:proofErr w:type="spellEnd"/>
      <w:r>
        <w:t>' Collaboration.</w:t>
      </w:r>
      <w:proofErr w:type="gramEnd"/>
      <w:r w:rsidRPr="004161C5">
        <w:rPr>
          <w:i/>
        </w:rPr>
        <w:t xml:space="preserve"> </w:t>
      </w:r>
      <w:proofErr w:type="gramStart"/>
      <w:r w:rsidRPr="004161C5">
        <w:rPr>
          <w:i/>
        </w:rPr>
        <w:t>Lancet</w:t>
      </w:r>
      <w:r>
        <w:t>.</w:t>
      </w:r>
      <w:proofErr w:type="gramEnd"/>
      <w:r>
        <w:t xml:space="preserve"> 2000</w:t>
      </w:r>
      <w:proofErr w:type="gramStart"/>
      <w:r>
        <w:t>;356:1955</w:t>
      </w:r>
      <w:proofErr w:type="gramEnd"/>
      <w:r>
        <w:t>-64. M</w:t>
      </w:r>
    </w:p>
  </w:endnote>
  <w:endnote w:id="22">
    <w:p w:rsidR="00E05DFD" w:rsidRDefault="00E05DFD">
      <w:pPr>
        <w:pStyle w:val="EndnoteText"/>
      </w:pPr>
      <w:r>
        <w:rPr>
          <w:rStyle w:val="EndnoteReference"/>
        </w:rPr>
        <w:endnoteRef/>
      </w:r>
      <w:r>
        <w:t xml:space="preserve"> </w:t>
      </w:r>
      <w:proofErr w:type="gramStart"/>
      <w:r>
        <w:t xml:space="preserve">American Heart Association, 2013 Heart Disease and Stroke Statistics, Chapter 9 </w:t>
      </w:r>
      <w:proofErr w:type="spellStart"/>
      <w:r>
        <w:t>Op.cit</w:t>
      </w:r>
      <w:proofErr w:type="spellEnd"/>
      <w:r>
        <w:t>.</w:t>
      </w:r>
      <w:proofErr w:type="gramEnd"/>
    </w:p>
  </w:endnote>
  <w:endnote w:id="23">
    <w:p w:rsidR="00E05DFD" w:rsidRDefault="00E05DFD" w:rsidP="00C07A7C">
      <w:pPr>
        <w:pStyle w:val="EndnoteText"/>
      </w:pPr>
      <w:r>
        <w:rPr>
          <w:rStyle w:val="EndnoteReference"/>
        </w:rPr>
        <w:endnoteRef/>
      </w:r>
      <w:r>
        <w:t xml:space="preserve"> These conditions include:</w:t>
      </w:r>
      <w:r w:rsidRPr="00C07A7C">
        <w:rPr>
          <w:rFonts w:ascii="MetaPlusBook-Roman" w:eastAsia="MetaPlusBook-Roman" w:cs="MetaPlusBook-Roman"/>
          <w:sz w:val="16"/>
          <w:szCs w:val="16"/>
        </w:rPr>
        <w:t xml:space="preserve"> </w:t>
      </w:r>
      <w:r w:rsidRPr="00C07A7C">
        <w:t>Sleep apnea</w:t>
      </w:r>
      <w:r>
        <w:t xml:space="preserve">, </w:t>
      </w:r>
      <w:proofErr w:type="gramStart"/>
      <w:r w:rsidRPr="00C07A7C">
        <w:t>Chronic</w:t>
      </w:r>
      <w:proofErr w:type="gramEnd"/>
      <w:r w:rsidRPr="00C07A7C">
        <w:t xml:space="preserve"> kidney disease</w:t>
      </w:r>
      <w:r>
        <w:t xml:space="preserve">, </w:t>
      </w:r>
      <w:r w:rsidRPr="00C07A7C">
        <w:t xml:space="preserve">Primary </w:t>
      </w:r>
      <w:proofErr w:type="spellStart"/>
      <w:r w:rsidRPr="00C07A7C">
        <w:t>aldosteronism</w:t>
      </w:r>
      <w:proofErr w:type="spellEnd"/>
      <w:r>
        <w:t xml:space="preserve">, </w:t>
      </w:r>
      <w:proofErr w:type="spellStart"/>
      <w:r w:rsidRPr="00C07A7C">
        <w:t>Renovascular</w:t>
      </w:r>
      <w:proofErr w:type="spellEnd"/>
      <w:r w:rsidRPr="00C07A7C">
        <w:t xml:space="preserve"> disease</w:t>
      </w:r>
      <w:r>
        <w:t xml:space="preserve">, </w:t>
      </w:r>
      <w:r w:rsidRPr="00C07A7C">
        <w:t>Chronic steroid therapy and Cushing</w:t>
      </w:r>
      <w:r>
        <w:t>’</w:t>
      </w:r>
      <w:r w:rsidRPr="00C07A7C">
        <w:t>s syndrome</w:t>
      </w:r>
      <w:r>
        <w:t xml:space="preserve">, </w:t>
      </w:r>
      <w:proofErr w:type="spellStart"/>
      <w:r w:rsidRPr="00C07A7C">
        <w:t>Pheochromocytoma</w:t>
      </w:r>
      <w:proofErr w:type="spellEnd"/>
      <w:r>
        <w:t xml:space="preserve">, </w:t>
      </w:r>
      <w:proofErr w:type="spellStart"/>
      <w:r w:rsidRPr="00C07A7C">
        <w:t>Coarctation</w:t>
      </w:r>
      <w:proofErr w:type="spellEnd"/>
      <w:r w:rsidRPr="00C07A7C">
        <w:t xml:space="preserve"> of the aorta</w:t>
      </w:r>
      <w:r>
        <w:t xml:space="preserve">, </w:t>
      </w:r>
      <w:r w:rsidRPr="00C07A7C">
        <w:t>Thyroid or parathyroid disease</w:t>
      </w:r>
      <w:r>
        <w:t>, as well as current diagnosis of diabetes or heart failure.</w:t>
      </w:r>
    </w:p>
  </w:endnote>
  <w:endnote w:id="24">
    <w:p w:rsidR="00A12C43" w:rsidRDefault="00A12C43">
      <w:pPr>
        <w:pStyle w:val="EndnoteText"/>
      </w:pPr>
      <w:r>
        <w:rPr>
          <w:rStyle w:val="EndnoteReference"/>
        </w:rPr>
        <w:endnoteRef/>
      </w:r>
      <w:r>
        <w:t xml:space="preserve"> </w:t>
      </w:r>
      <w:r w:rsidRPr="00A12C43">
        <w:t xml:space="preserve">May </w:t>
      </w:r>
      <w:proofErr w:type="gramStart"/>
      <w:r w:rsidRPr="00A12C43">
        <w:t>AM</w:t>
      </w:r>
      <w:proofErr w:type="gramEnd"/>
      <w:r w:rsidRPr="00A12C43">
        <w:t xml:space="preserve">, </w:t>
      </w:r>
      <w:proofErr w:type="spellStart"/>
      <w:r w:rsidRPr="00A12C43">
        <w:t>Kuklina</w:t>
      </w:r>
      <w:proofErr w:type="spellEnd"/>
      <w:r w:rsidRPr="00A12C43">
        <w:t xml:space="preserve"> </w:t>
      </w:r>
      <w:proofErr w:type="spellStart"/>
      <w:r w:rsidRPr="00A12C43">
        <w:t>Ev</w:t>
      </w:r>
      <w:proofErr w:type="spellEnd"/>
      <w:r w:rsidRPr="00A12C43">
        <w:t xml:space="preserve">, Yoon PW. </w:t>
      </w:r>
      <w:proofErr w:type="gramStart"/>
      <w:r w:rsidRPr="00A12C43">
        <w:t>Prevalence of cardiovascular risk factors among U.S. adolescents, 1999-2008.</w:t>
      </w:r>
      <w:proofErr w:type="gramEnd"/>
      <w:r w:rsidRPr="00A12C43">
        <w:t xml:space="preserve"> Pediatrics, 2002; 129:1035-1041</w:t>
      </w:r>
      <w:r>
        <w:t>.</w:t>
      </w:r>
    </w:p>
  </w:endnote>
  <w:endnote w:id="25">
    <w:p w:rsidR="00E05DFD" w:rsidRDefault="00E05DFD" w:rsidP="00F65C25">
      <w:pPr>
        <w:pStyle w:val="EndnoteText"/>
      </w:pPr>
      <w:r>
        <w:rPr>
          <w:rStyle w:val="EndnoteReference"/>
        </w:rPr>
        <w:endnoteRef/>
      </w:r>
      <w:r>
        <w:t xml:space="preserve"> </w:t>
      </w:r>
      <w:proofErr w:type="gramStart"/>
      <w:r>
        <w:t>The Trials of Hypertension Prevention Collaborative Research Group.</w:t>
      </w:r>
      <w:proofErr w:type="gramEnd"/>
      <w:r>
        <w:t xml:space="preserve"> </w:t>
      </w:r>
      <w:proofErr w:type="gramStart"/>
      <w:r>
        <w:t>Effects of weight loss and sodium reduction intervention on blood pressure and hypertension incidence in overweight people with high-normal blood pressure.</w:t>
      </w:r>
      <w:proofErr w:type="gramEnd"/>
      <w:r>
        <w:t xml:space="preserve"> The Trials of Hypertension </w:t>
      </w:r>
      <w:proofErr w:type="gramStart"/>
      <w:r>
        <w:t>Prevention,</w:t>
      </w:r>
      <w:proofErr w:type="gramEnd"/>
      <w:r>
        <w:t xml:space="preserve"> phase II. </w:t>
      </w:r>
      <w:r w:rsidRPr="004161C5">
        <w:rPr>
          <w:i/>
        </w:rPr>
        <w:t>Arch Intern Med</w:t>
      </w:r>
      <w:r>
        <w:t>. 1997</w:t>
      </w:r>
      <w:proofErr w:type="gramStart"/>
      <w:r>
        <w:t>;157:657</w:t>
      </w:r>
      <w:proofErr w:type="gramEnd"/>
      <w:r>
        <w:t>-67.</w:t>
      </w:r>
    </w:p>
  </w:endnote>
  <w:endnote w:id="26">
    <w:p w:rsidR="00E05DFD" w:rsidRDefault="00E05DFD" w:rsidP="00F65C25">
      <w:pPr>
        <w:pStyle w:val="EndnoteText"/>
      </w:pPr>
      <w:r>
        <w:rPr>
          <w:rStyle w:val="EndnoteReference"/>
        </w:rPr>
        <w:endnoteRef/>
      </w:r>
      <w:r>
        <w:t xml:space="preserve"> Sacks FM, </w:t>
      </w:r>
      <w:proofErr w:type="spellStart"/>
      <w:r>
        <w:t>Svetkey</w:t>
      </w:r>
      <w:proofErr w:type="spellEnd"/>
      <w:r>
        <w:t xml:space="preserve"> LP, Vollmer WM, et al. Effects on blood pressure of reduced dietary sodium and the Dietary Approaches to Stop Hypertension (DASH) diet. </w:t>
      </w:r>
      <w:proofErr w:type="gramStart"/>
      <w:r>
        <w:t>DASH-Sodium Collaborative Research Group.</w:t>
      </w:r>
      <w:proofErr w:type="gramEnd"/>
      <w:r>
        <w:t xml:space="preserve"> </w:t>
      </w:r>
      <w:r w:rsidRPr="004161C5">
        <w:rPr>
          <w:i/>
        </w:rPr>
        <w:t xml:space="preserve">N </w:t>
      </w:r>
      <w:proofErr w:type="spellStart"/>
      <w:r w:rsidRPr="004161C5">
        <w:rPr>
          <w:i/>
        </w:rPr>
        <w:t>Engl</w:t>
      </w:r>
      <w:proofErr w:type="spellEnd"/>
      <w:r w:rsidRPr="004161C5">
        <w:rPr>
          <w:i/>
        </w:rPr>
        <w:t xml:space="preserve"> J Med</w:t>
      </w:r>
      <w:r>
        <w:t>. 2001;344:3-10</w:t>
      </w:r>
    </w:p>
  </w:endnote>
  <w:endnote w:id="27">
    <w:p w:rsidR="00E05DFD" w:rsidRDefault="00E05DFD" w:rsidP="00F65C25">
      <w:pPr>
        <w:pStyle w:val="EndnoteText"/>
      </w:pPr>
      <w:r>
        <w:rPr>
          <w:rStyle w:val="EndnoteReference"/>
        </w:rPr>
        <w:endnoteRef/>
      </w:r>
      <w:r>
        <w:t xml:space="preserve"> Vollmer WM, Sacks FM, </w:t>
      </w:r>
      <w:proofErr w:type="spellStart"/>
      <w:r>
        <w:t>Ard</w:t>
      </w:r>
      <w:proofErr w:type="spellEnd"/>
      <w:r>
        <w:t xml:space="preserve"> J, et al. Effects of diet and sodium intake on blood pressure: Subgroup analysis of the DASH-sodium trial. </w:t>
      </w:r>
      <w:r w:rsidRPr="004161C5">
        <w:rPr>
          <w:i/>
        </w:rPr>
        <w:t>Ann Intern Med</w:t>
      </w:r>
      <w:r>
        <w:t>. 2001;135:1019-28</w:t>
      </w:r>
    </w:p>
  </w:endnote>
  <w:endnote w:id="28">
    <w:p w:rsidR="00E05DFD" w:rsidRDefault="00E05DFD">
      <w:pPr>
        <w:pStyle w:val="EndnoteText"/>
      </w:pPr>
      <w:r>
        <w:rPr>
          <w:rStyle w:val="EndnoteReference"/>
        </w:rPr>
        <w:endnoteRef/>
      </w:r>
      <w:r>
        <w:t xml:space="preserve"> Appel, LJ, Moore TJ,  </w:t>
      </w:r>
      <w:proofErr w:type="spellStart"/>
      <w:r>
        <w:t>Obarzanek</w:t>
      </w:r>
      <w:proofErr w:type="spellEnd"/>
      <w:r>
        <w:t xml:space="preserve"> E., et al for the DASH Collaborative Research Group, A clinical </w:t>
      </w:r>
      <w:proofErr w:type="spellStart"/>
      <w:r>
        <w:t>trail</w:t>
      </w:r>
      <w:proofErr w:type="spellEnd"/>
      <w:r>
        <w:t xml:space="preserve"> of the effects of dietary patterns on blood pressure. </w:t>
      </w:r>
      <w:r w:rsidRPr="004161C5">
        <w:rPr>
          <w:i/>
        </w:rPr>
        <w:t xml:space="preserve">N </w:t>
      </w:r>
      <w:proofErr w:type="spellStart"/>
      <w:r w:rsidRPr="004161C5">
        <w:rPr>
          <w:i/>
        </w:rPr>
        <w:t>Engl</w:t>
      </w:r>
      <w:proofErr w:type="spellEnd"/>
      <w:r w:rsidRPr="004161C5">
        <w:rPr>
          <w:i/>
        </w:rPr>
        <w:t xml:space="preserve"> J Med</w:t>
      </w:r>
      <w:r>
        <w:t>, 1997</w:t>
      </w:r>
      <w:proofErr w:type="gramStart"/>
      <w:r>
        <w:t>;336:1117</w:t>
      </w:r>
      <w:proofErr w:type="gramEnd"/>
      <w:r>
        <w:t>-1124.</w:t>
      </w:r>
    </w:p>
  </w:endnote>
  <w:endnote w:id="29">
    <w:p w:rsidR="00E05DFD" w:rsidRDefault="00E05DFD" w:rsidP="00F65C25">
      <w:pPr>
        <w:pStyle w:val="EndnoteText"/>
      </w:pPr>
      <w:r>
        <w:rPr>
          <w:rStyle w:val="EndnoteReference"/>
        </w:rPr>
        <w:endnoteRef/>
      </w:r>
      <w:r>
        <w:t xml:space="preserve"> </w:t>
      </w:r>
      <w:proofErr w:type="spellStart"/>
      <w:r>
        <w:t>Chobanian</w:t>
      </w:r>
      <w:proofErr w:type="spellEnd"/>
      <w:r>
        <w:t xml:space="preserve"> AV, Hill M. National Heart, Lung, and Blood Institute Workshop on Sodium and Blood Pressure: A critical review of current scientific evidence. </w:t>
      </w:r>
      <w:proofErr w:type="gramStart"/>
      <w:r w:rsidRPr="004161C5">
        <w:rPr>
          <w:i/>
        </w:rPr>
        <w:t>Hypertension</w:t>
      </w:r>
      <w:r>
        <w:t>.</w:t>
      </w:r>
      <w:proofErr w:type="gramEnd"/>
      <w:r>
        <w:t xml:space="preserve"> 2000</w:t>
      </w:r>
      <w:proofErr w:type="gramStart"/>
      <w:r>
        <w:t>;35:858</w:t>
      </w:r>
      <w:proofErr w:type="gramEnd"/>
      <w:r>
        <w:t>-63.</w:t>
      </w:r>
    </w:p>
  </w:endnote>
  <w:endnote w:id="30">
    <w:p w:rsidR="00E05DFD" w:rsidRDefault="00E05DFD">
      <w:pPr>
        <w:pStyle w:val="EndnoteText"/>
      </w:pPr>
      <w:r>
        <w:rPr>
          <w:rStyle w:val="EndnoteReference"/>
        </w:rPr>
        <w:endnoteRef/>
      </w:r>
      <w:r>
        <w:t xml:space="preserve"> </w:t>
      </w:r>
      <w:proofErr w:type="spellStart"/>
      <w:r>
        <w:t>Whelton</w:t>
      </w:r>
      <w:proofErr w:type="spellEnd"/>
      <w:r>
        <w:t xml:space="preserve"> PK, He L, Cutler et al. Effects of oral potassium on blood pressure: a meta-analysis of randomized controlled trails. </w:t>
      </w:r>
      <w:r w:rsidRPr="004161C5">
        <w:rPr>
          <w:i/>
        </w:rPr>
        <w:t>JAMA</w:t>
      </w:r>
      <w:r>
        <w:t xml:space="preserve"> 1997</w:t>
      </w:r>
      <w:proofErr w:type="gramStart"/>
      <w:r>
        <w:t>;277:16224</w:t>
      </w:r>
      <w:proofErr w:type="gramEnd"/>
      <w:r>
        <w:t>-1632.</w:t>
      </w:r>
    </w:p>
  </w:endnote>
  <w:endnote w:id="31">
    <w:p w:rsidR="00E05DFD" w:rsidRDefault="00E05DFD">
      <w:pPr>
        <w:pStyle w:val="EndnoteText"/>
      </w:pPr>
      <w:r>
        <w:rPr>
          <w:rStyle w:val="EndnoteReference"/>
        </w:rPr>
        <w:endnoteRef/>
      </w:r>
      <w:r>
        <w:t xml:space="preserve"> Vital Signs: Food categories contributing the most to sodium consumption, U.S. 2007-2008. </w:t>
      </w:r>
      <w:r w:rsidRPr="00343571">
        <w:rPr>
          <w:i/>
        </w:rPr>
        <w:t>MMWR</w:t>
      </w:r>
      <w:r>
        <w:t>, 2012</w:t>
      </w:r>
      <w:proofErr w:type="gramStart"/>
      <w:r>
        <w:t>;61:92</w:t>
      </w:r>
      <w:proofErr w:type="gramEnd"/>
      <w:r>
        <w:t>-98.</w:t>
      </w:r>
    </w:p>
  </w:endnote>
  <w:endnote w:id="32">
    <w:p w:rsidR="00E05DFD" w:rsidRDefault="00E05DFD">
      <w:pPr>
        <w:pStyle w:val="EndnoteText"/>
      </w:pPr>
      <w:r>
        <w:rPr>
          <w:rStyle w:val="EndnoteReference"/>
        </w:rPr>
        <w:endnoteRef/>
      </w:r>
      <w:r>
        <w:t xml:space="preserve"> Ibid.</w:t>
      </w:r>
    </w:p>
  </w:endnote>
  <w:endnote w:id="33">
    <w:p w:rsidR="00E05DFD" w:rsidRDefault="00E05DFD" w:rsidP="00F65C25">
      <w:pPr>
        <w:pStyle w:val="EndnoteText"/>
      </w:pPr>
      <w:r>
        <w:rPr>
          <w:rStyle w:val="EndnoteReference"/>
        </w:rPr>
        <w:endnoteRef/>
      </w:r>
      <w:r>
        <w:t xml:space="preserve"> </w:t>
      </w:r>
      <w:proofErr w:type="spellStart"/>
      <w:r>
        <w:t>Whelton</w:t>
      </w:r>
      <w:proofErr w:type="spellEnd"/>
      <w:r>
        <w:t xml:space="preserve"> SP, Chin </w:t>
      </w:r>
      <w:proofErr w:type="gramStart"/>
      <w:r>
        <w:t>A</w:t>
      </w:r>
      <w:proofErr w:type="gramEnd"/>
      <w:r>
        <w:t xml:space="preserve">, Xin X, He J. Effect of aerobic exercise on blood pressure: A meta-analysis of randomized, controlled trials. </w:t>
      </w:r>
      <w:r w:rsidRPr="004161C5">
        <w:rPr>
          <w:i/>
        </w:rPr>
        <w:t>Ann Intern Med</w:t>
      </w:r>
      <w:r>
        <w:t>. 2002;136:493-503</w:t>
      </w:r>
    </w:p>
  </w:endnote>
  <w:endnote w:id="34">
    <w:p w:rsidR="00E05DFD" w:rsidRDefault="00E05DFD" w:rsidP="00F65C25">
      <w:pPr>
        <w:pStyle w:val="EndnoteText"/>
      </w:pPr>
      <w:r>
        <w:rPr>
          <w:rStyle w:val="EndnoteReference"/>
        </w:rPr>
        <w:endnoteRef/>
      </w:r>
      <w:r>
        <w:t xml:space="preserve"> Xin X, He J, </w:t>
      </w:r>
      <w:proofErr w:type="spellStart"/>
      <w:r>
        <w:t>Frontini</w:t>
      </w:r>
      <w:proofErr w:type="spellEnd"/>
      <w:r>
        <w:t xml:space="preserve"> MG, et al. Effects of alcohol reduction on blood pressure: A meta-analysis of randomized controlled trials. </w:t>
      </w:r>
      <w:proofErr w:type="gramStart"/>
      <w:r w:rsidRPr="004161C5">
        <w:rPr>
          <w:i/>
        </w:rPr>
        <w:t>Hypertension</w:t>
      </w:r>
      <w:r>
        <w:t>.</w:t>
      </w:r>
      <w:proofErr w:type="gramEnd"/>
      <w:r>
        <w:t xml:space="preserve"> 2001</w:t>
      </w:r>
      <w:proofErr w:type="gramStart"/>
      <w:r>
        <w:t>;38:1112</w:t>
      </w:r>
      <w:proofErr w:type="gramEnd"/>
      <w:r>
        <w:t>-7.</w:t>
      </w:r>
    </w:p>
  </w:endnote>
  <w:endnote w:id="35">
    <w:p w:rsidR="00E05DFD" w:rsidRDefault="00E05DFD">
      <w:pPr>
        <w:pStyle w:val="EndnoteText"/>
      </w:pPr>
      <w:r>
        <w:rPr>
          <w:rStyle w:val="EndnoteReference"/>
        </w:rPr>
        <w:endnoteRef/>
      </w:r>
      <w:r>
        <w:t xml:space="preserve"> AHA </w:t>
      </w:r>
      <w:r w:rsidRPr="00D56A84">
        <w:t>2013 Heart Disease and Stroke Statistics</w:t>
      </w:r>
      <w:r>
        <w:t>, page e79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PlusBook-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7B" w:rsidRDefault="00BE5F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Hypertension Prevention Report (DR2647). </w:t>
    </w:r>
    <w:r w:rsidR="003D3197">
      <w:rPr>
        <w:rFonts w:asciiTheme="majorHAnsi" w:eastAsiaTheme="majorEastAsia" w:hAnsiTheme="majorHAnsi" w:cstheme="majorBidi"/>
      </w:rPr>
      <w:t>29SEP</w:t>
    </w:r>
    <w:r>
      <w:rPr>
        <w:rFonts w:asciiTheme="majorHAnsi" w:eastAsiaTheme="majorEastAsia" w:hAnsiTheme="majorHAnsi" w:cstheme="majorBidi"/>
      </w:rPr>
      <w:t>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B511D" w:rsidRPr="007B511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05DFD" w:rsidRDefault="00E0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2C" w:rsidRDefault="0070222C" w:rsidP="00386220">
      <w:pPr>
        <w:spacing w:after="0" w:line="240" w:lineRule="auto"/>
      </w:pPr>
      <w:r>
        <w:separator/>
      </w:r>
    </w:p>
  </w:footnote>
  <w:footnote w:type="continuationSeparator" w:id="0">
    <w:p w:rsidR="0070222C" w:rsidRDefault="0070222C" w:rsidP="00386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62694"/>
      <w:docPartObj>
        <w:docPartGallery w:val="Watermarks"/>
        <w:docPartUnique/>
      </w:docPartObj>
    </w:sdtPr>
    <w:sdtEndPr/>
    <w:sdtContent>
      <w:p w:rsidR="00E05DFD" w:rsidRDefault="007B51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263"/>
    <w:multiLevelType w:val="hybridMultilevel"/>
    <w:tmpl w:val="93BC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25C6A"/>
    <w:multiLevelType w:val="hybridMultilevel"/>
    <w:tmpl w:val="2FA423B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75F6942"/>
    <w:multiLevelType w:val="hybridMultilevel"/>
    <w:tmpl w:val="C9A8D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DD007C"/>
    <w:multiLevelType w:val="hybridMultilevel"/>
    <w:tmpl w:val="05E8D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B07A23"/>
    <w:multiLevelType w:val="hybridMultilevel"/>
    <w:tmpl w:val="2982B97E"/>
    <w:lvl w:ilvl="0" w:tplc="188AC7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E23CF"/>
    <w:multiLevelType w:val="hybridMultilevel"/>
    <w:tmpl w:val="0930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D2FF8"/>
    <w:multiLevelType w:val="hybridMultilevel"/>
    <w:tmpl w:val="158E5BB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68000913"/>
    <w:multiLevelType w:val="hybridMultilevel"/>
    <w:tmpl w:val="9FC604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7FCC0EAA"/>
    <w:multiLevelType w:val="hybridMultilevel"/>
    <w:tmpl w:val="1F12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20"/>
    <w:rsid w:val="00001B70"/>
    <w:rsid w:val="00004B83"/>
    <w:rsid w:val="000125A3"/>
    <w:rsid w:val="00040114"/>
    <w:rsid w:val="000428A0"/>
    <w:rsid w:val="000567B4"/>
    <w:rsid w:val="00057EC2"/>
    <w:rsid w:val="0007147A"/>
    <w:rsid w:val="0007323A"/>
    <w:rsid w:val="00084332"/>
    <w:rsid w:val="000864D9"/>
    <w:rsid w:val="000B49E4"/>
    <w:rsid w:val="000C4979"/>
    <w:rsid w:val="000C707F"/>
    <w:rsid w:val="000F114C"/>
    <w:rsid w:val="000F2138"/>
    <w:rsid w:val="000F3618"/>
    <w:rsid w:val="0011143E"/>
    <w:rsid w:val="001156A1"/>
    <w:rsid w:val="00122032"/>
    <w:rsid w:val="00160976"/>
    <w:rsid w:val="0019224B"/>
    <w:rsid w:val="001B5A81"/>
    <w:rsid w:val="001E0ED1"/>
    <w:rsid w:val="001E577A"/>
    <w:rsid w:val="001F2D19"/>
    <w:rsid w:val="001F7236"/>
    <w:rsid w:val="0020113E"/>
    <w:rsid w:val="002026CB"/>
    <w:rsid w:val="00204518"/>
    <w:rsid w:val="00225F25"/>
    <w:rsid w:val="00232FD9"/>
    <w:rsid w:val="00243045"/>
    <w:rsid w:val="00244A81"/>
    <w:rsid w:val="002554C0"/>
    <w:rsid w:val="00264B6C"/>
    <w:rsid w:val="0027642C"/>
    <w:rsid w:val="00283EF4"/>
    <w:rsid w:val="00296F65"/>
    <w:rsid w:val="002B150A"/>
    <w:rsid w:val="002B394D"/>
    <w:rsid w:val="002D4179"/>
    <w:rsid w:val="002F5A82"/>
    <w:rsid w:val="002F65CF"/>
    <w:rsid w:val="002F6CDD"/>
    <w:rsid w:val="00322343"/>
    <w:rsid w:val="00343571"/>
    <w:rsid w:val="003640F7"/>
    <w:rsid w:val="00380032"/>
    <w:rsid w:val="00386220"/>
    <w:rsid w:val="00390864"/>
    <w:rsid w:val="003948C4"/>
    <w:rsid w:val="003C77C1"/>
    <w:rsid w:val="003D1713"/>
    <w:rsid w:val="003D3197"/>
    <w:rsid w:val="003D699D"/>
    <w:rsid w:val="003D6CD2"/>
    <w:rsid w:val="00406305"/>
    <w:rsid w:val="004153DE"/>
    <w:rsid w:val="004161C5"/>
    <w:rsid w:val="00441771"/>
    <w:rsid w:val="0045536B"/>
    <w:rsid w:val="00486CFD"/>
    <w:rsid w:val="004A674C"/>
    <w:rsid w:val="004D2676"/>
    <w:rsid w:val="004E4154"/>
    <w:rsid w:val="004F3996"/>
    <w:rsid w:val="004F7E78"/>
    <w:rsid w:val="0050636C"/>
    <w:rsid w:val="0052050F"/>
    <w:rsid w:val="00581818"/>
    <w:rsid w:val="005A125A"/>
    <w:rsid w:val="005D0753"/>
    <w:rsid w:val="005F7711"/>
    <w:rsid w:val="00601981"/>
    <w:rsid w:val="006211F1"/>
    <w:rsid w:val="00624180"/>
    <w:rsid w:val="006454AD"/>
    <w:rsid w:val="00657D91"/>
    <w:rsid w:val="00660591"/>
    <w:rsid w:val="006628B4"/>
    <w:rsid w:val="006B3D60"/>
    <w:rsid w:val="006C4DC6"/>
    <w:rsid w:val="006D4F1A"/>
    <w:rsid w:val="006E156E"/>
    <w:rsid w:val="006E2715"/>
    <w:rsid w:val="006E41B2"/>
    <w:rsid w:val="0070222C"/>
    <w:rsid w:val="00705259"/>
    <w:rsid w:val="0070532E"/>
    <w:rsid w:val="0071618C"/>
    <w:rsid w:val="007533BC"/>
    <w:rsid w:val="007552AD"/>
    <w:rsid w:val="0078574D"/>
    <w:rsid w:val="0078575C"/>
    <w:rsid w:val="00796AA4"/>
    <w:rsid w:val="00797F76"/>
    <w:rsid w:val="007A6F4A"/>
    <w:rsid w:val="007B511D"/>
    <w:rsid w:val="007D1802"/>
    <w:rsid w:val="007D2B61"/>
    <w:rsid w:val="008251AA"/>
    <w:rsid w:val="00830100"/>
    <w:rsid w:val="00830C32"/>
    <w:rsid w:val="00832B57"/>
    <w:rsid w:val="00854780"/>
    <w:rsid w:val="008951AF"/>
    <w:rsid w:val="00896505"/>
    <w:rsid w:val="008E31D6"/>
    <w:rsid w:val="00905A94"/>
    <w:rsid w:val="0091776F"/>
    <w:rsid w:val="00921422"/>
    <w:rsid w:val="00945E1D"/>
    <w:rsid w:val="00955CD0"/>
    <w:rsid w:val="00974B6A"/>
    <w:rsid w:val="00976494"/>
    <w:rsid w:val="009828E8"/>
    <w:rsid w:val="009928FD"/>
    <w:rsid w:val="009A77BF"/>
    <w:rsid w:val="009B3B53"/>
    <w:rsid w:val="009B799D"/>
    <w:rsid w:val="009C1335"/>
    <w:rsid w:val="009C43EF"/>
    <w:rsid w:val="009D1918"/>
    <w:rsid w:val="009D7261"/>
    <w:rsid w:val="00A02FAC"/>
    <w:rsid w:val="00A038BF"/>
    <w:rsid w:val="00A03C04"/>
    <w:rsid w:val="00A11450"/>
    <w:rsid w:val="00A12C43"/>
    <w:rsid w:val="00A1591A"/>
    <w:rsid w:val="00A203FF"/>
    <w:rsid w:val="00A37976"/>
    <w:rsid w:val="00A92248"/>
    <w:rsid w:val="00A969A3"/>
    <w:rsid w:val="00AA0790"/>
    <w:rsid w:val="00AA256D"/>
    <w:rsid w:val="00AA6F54"/>
    <w:rsid w:val="00AC0401"/>
    <w:rsid w:val="00AC30B7"/>
    <w:rsid w:val="00AE3BB9"/>
    <w:rsid w:val="00AF3DA6"/>
    <w:rsid w:val="00AF6A6D"/>
    <w:rsid w:val="00B03267"/>
    <w:rsid w:val="00B33CC5"/>
    <w:rsid w:val="00B4405C"/>
    <w:rsid w:val="00B55286"/>
    <w:rsid w:val="00BA42FD"/>
    <w:rsid w:val="00BA49F9"/>
    <w:rsid w:val="00BB59D1"/>
    <w:rsid w:val="00BD4011"/>
    <w:rsid w:val="00BE5F7B"/>
    <w:rsid w:val="00BF4051"/>
    <w:rsid w:val="00C07A7C"/>
    <w:rsid w:val="00C144F5"/>
    <w:rsid w:val="00C64A8A"/>
    <w:rsid w:val="00C86D54"/>
    <w:rsid w:val="00CA33EB"/>
    <w:rsid w:val="00CC78E6"/>
    <w:rsid w:val="00CE49BD"/>
    <w:rsid w:val="00CF2EE4"/>
    <w:rsid w:val="00D07E82"/>
    <w:rsid w:val="00D16FF7"/>
    <w:rsid w:val="00D21CA4"/>
    <w:rsid w:val="00D56A84"/>
    <w:rsid w:val="00D6664D"/>
    <w:rsid w:val="00DA7D8E"/>
    <w:rsid w:val="00DB273E"/>
    <w:rsid w:val="00DB3593"/>
    <w:rsid w:val="00DD582E"/>
    <w:rsid w:val="00E017FA"/>
    <w:rsid w:val="00E05DFD"/>
    <w:rsid w:val="00E26A00"/>
    <w:rsid w:val="00E302AA"/>
    <w:rsid w:val="00E40A0B"/>
    <w:rsid w:val="00E40A1E"/>
    <w:rsid w:val="00E452FA"/>
    <w:rsid w:val="00E47753"/>
    <w:rsid w:val="00E54254"/>
    <w:rsid w:val="00E56512"/>
    <w:rsid w:val="00E657A4"/>
    <w:rsid w:val="00E8792F"/>
    <w:rsid w:val="00EA3264"/>
    <w:rsid w:val="00EC707A"/>
    <w:rsid w:val="00ED6175"/>
    <w:rsid w:val="00EE0985"/>
    <w:rsid w:val="00EE79D2"/>
    <w:rsid w:val="00F31178"/>
    <w:rsid w:val="00F34CB3"/>
    <w:rsid w:val="00F43355"/>
    <w:rsid w:val="00F44A97"/>
    <w:rsid w:val="00F469B7"/>
    <w:rsid w:val="00F62DE3"/>
    <w:rsid w:val="00F6323A"/>
    <w:rsid w:val="00F65C25"/>
    <w:rsid w:val="00F7379B"/>
    <w:rsid w:val="00F85503"/>
    <w:rsid w:val="00F922D8"/>
    <w:rsid w:val="00FA6622"/>
    <w:rsid w:val="00FB3C9E"/>
    <w:rsid w:val="00FC0A8D"/>
    <w:rsid w:val="00FD4A40"/>
    <w:rsid w:val="00FD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76"/>
  </w:style>
  <w:style w:type="paragraph" w:styleId="Heading1">
    <w:name w:val="heading 1"/>
    <w:basedOn w:val="Normal"/>
    <w:next w:val="Normal"/>
    <w:link w:val="Heading1Char"/>
    <w:uiPriority w:val="9"/>
    <w:qFormat/>
    <w:rsid w:val="00796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2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86220"/>
    <w:pPr>
      <w:spacing w:after="0" w:line="240" w:lineRule="auto"/>
    </w:pPr>
    <w:rPr>
      <w:sz w:val="20"/>
      <w:szCs w:val="20"/>
    </w:rPr>
  </w:style>
  <w:style w:type="character" w:customStyle="1" w:styleId="EndnoteTextChar">
    <w:name w:val="Endnote Text Char"/>
    <w:basedOn w:val="DefaultParagraphFont"/>
    <w:link w:val="EndnoteText"/>
    <w:uiPriority w:val="99"/>
    <w:rsid w:val="00386220"/>
    <w:rPr>
      <w:sz w:val="20"/>
      <w:szCs w:val="20"/>
    </w:rPr>
  </w:style>
  <w:style w:type="character" w:styleId="EndnoteReference">
    <w:name w:val="endnote reference"/>
    <w:basedOn w:val="DefaultParagraphFont"/>
    <w:uiPriority w:val="99"/>
    <w:unhideWhenUsed/>
    <w:rsid w:val="00386220"/>
    <w:rPr>
      <w:vertAlign w:val="superscript"/>
    </w:rPr>
  </w:style>
  <w:style w:type="paragraph" w:styleId="BalloonText">
    <w:name w:val="Balloon Text"/>
    <w:basedOn w:val="Normal"/>
    <w:link w:val="BalloonTextChar"/>
    <w:uiPriority w:val="99"/>
    <w:semiHidden/>
    <w:unhideWhenUsed/>
    <w:rsid w:val="00F65C2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65C25"/>
    <w:rPr>
      <w:rFonts w:ascii="Tahoma" w:hAnsi="Tahoma"/>
      <w:sz w:val="16"/>
      <w:szCs w:val="16"/>
    </w:rPr>
  </w:style>
  <w:style w:type="paragraph" w:styleId="NoSpacing">
    <w:name w:val="No Spacing"/>
    <w:uiPriority w:val="1"/>
    <w:qFormat/>
    <w:rsid w:val="001F7236"/>
    <w:pPr>
      <w:spacing w:after="0" w:line="240" w:lineRule="auto"/>
    </w:pPr>
  </w:style>
  <w:style w:type="paragraph" w:styleId="ListParagraph">
    <w:name w:val="List Paragraph"/>
    <w:basedOn w:val="Normal"/>
    <w:uiPriority w:val="34"/>
    <w:qFormat/>
    <w:rsid w:val="0070532E"/>
    <w:pPr>
      <w:ind w:left="720"/>
      <w:contextualSpacing/>
    </w:pPr>
  </w:style>
  <w:style w:type="paragraph" w:styleId="Header">
    <w:name w:val="header"/>
    <w:basedOn w:val="Normal"/>
    <w:link w:val="HeaderChar"/>
    <w:uiPriority w:val="99"/>
    <w:unhideWhenUsed/>
    <w:rsid w:val="00D2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A4"/>
  </w:style>
  <w:style w:type="paragraph" w:styleId="Footer">
    <w:name w:val="footer"/>
    <w:basedOn w:val="Normal"/>
    <w:link w:val="FooterChar"/>
    <w:uiPriority w:val="99"/>
    <w:unhideWhenUsed/>
    <w:rsid w:val="00D2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A4"/>
  </w:style>
  <w:style w:type="paragraph" w:styleId="Caption">
    <w:name w:val="caption"/>
    <w:basedOn w:val="Normal"/>
    <w:next w:val="Normal"/>
    <w:uiPriority w:val="35"/>
    <w:unhideWhenUsed/>
    <w:qFormat/>
    <w:rsid w:val="00057EC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6A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2C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B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B6A"/>
    <w:rPr>
      <w:color w:val="0000FF" w:themeColor="hyperlink"/>
      <w:u w:val="single"/>
    </w:rPr>
  </w:style>
  <w:style w:type="character" w:styleId="FollowedHyperlink">
    <w:name w:val="FollowedHyperlink"/>
    <w:basedOn w:val="DefaultParagraphFont"/>
    <w:uiPriority w:val="99"/>
    <w:semiHidden/>
    <w:unhideWhenUsed/>
    <w:rsid w:val="00974B6A"/>
    <w:rPr>
      <w:color w:val="800080" w:themeColor="followedHyperlink"/>
      <w:u w:val="single"/>
    </w:rPr>
  </w:style>
  <w:style w:type="character" w:styleId="CommentReference">
    <w:name w:val="annotation reference"/>
    <w:basedOn w:val="DefaultParagraphFont"/>
    <w:uiPriority w:val="99"/>
    <w:semiHidden/>
    <w:unhideWhenUsed/>
    <w:rsid w:val="00DA7D8E"/>
    <w:rPr>
      <w:sz w:val="16"/>
      <w:szCs w:val="16"/>
    </w:rPr>
  </w:style>
  <w:style w:type="paragraph" w:styleId="CommentText">
    <w:name w:val="annotation text"/>
    <w:basedOn w:val="Normal"/>
    <w:link w:val="CommentTextChar"/>
    <w:uiPriority w:val="99"/>
    <w:semiHidden/>
    <w:unhideWhenUsed/>
    <w:rsid w:val="00DA7D8E"/>
    <w:pPr>
      <w:spacing w:line="240" w:lineRule="auto"/>
    </w:pPr>
    <w:rPr>
      <w:sz w:val="20"/>
      <w:szCs w:val="20"/>
    </w:rPr>
  </w:style>
  <w:style w:type="character" w:customStyle="1" w:styleId="CommentTextChar">
    <w:name w:val="Comment Text Char"/>
    <w:basedOn w:val="DefaultParagraphFont"/>
    <w:link w:val="CommentText"/>
    <w:uiPriority w:val="99"/>
    <w:semiHidden/>
    <w:rsid w:val="00DA7D8E"/>
    <w:rPr>
      <w:sz w:val="20"/>
      <w:szCs w:val="20"/>
    </w:rPr>
  </w:style>
  <w:style w:type="paragraph" w:styleId="CommentSubject">
    <w:name w:val="annotation subject"/>
    <w:basedOn w:val="CommentText"/>
    <w:next w:val="CommentText"/>
    <w:link w:val="CommentSubjectChar"/>
    <w:uiPriority w:val="99"/>
    <w:semiHidden/>
    <w:unhideWhenUsed/>
    <w:rsid w:val="00DA7D8E"/>
    <w:rPr>
      <w:b/>
      <w:bCs/>
    </w:rPr>
  </w:style>
  <w:style w:type="character" w:customStyle="1" w:styleId="CommentSubjectChar">
    <w:name w:val="Comment Subject Char"/>
    <w:basedOn w:val="CommentTextChar"/>
    <w:link w:val="CommentSubject"/>
    <w:uiPriority w:val="99"/>
    <w:semiHidden/>
    <w:rsid w:val="00DA7D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76"/>
  </w:style>
  <w:style w:type="paragraph" w:styleId="Heading1">
    <w:name w:val="heading 1"/>
    <w:basedOn w:val="Normal"/>
    <w:next w:val="Normal"/>
    <w:link w:val="Heading1Char"/>
    <w:uiPriority w:val="9"/>
    <w:qFormat/>
    <w:rsid w:val="00796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2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86220"/>
    <w:pPr>
      <w:spacing w:after="0" w:line="240" w:lineRule="auto"/>
    </w:pPr>
    <w:rPr>
      <w:sz w:val="20"/>
      <w:szCs w:val="20"/>
    </w:rPr>
  </w:style>
  <w:style w:type="character" w:customStyle="1" w:styleId="EndnoteTextChar">
    <w:name w:val="Endnote Text Char"/>
    <w:basedOn w:val="DefaultParagraphFont"/>
    <w:link w:val="EndnoteText"/>
    <w:uiPriority w:val="99"/>
    <w:rsid w:val="00386220"/>
    <w:rPr>
      <w:sz w:val="20"/>
      <w:szCs w:val="20"/>
    </w:rPr>
  </w:style>
  <w:style w:type="character" w:styleId="EndnoteReference">
    <w:name w:val="endnote reference"/>
    <w:basedOn w:val="DefaultParagraphFont"/>
    <w:uiPriority w:val="99"/>
    <w:unhideWhenUsed/>
    <w:rsid w:val="00386220"/>
    <w:rPr>
      <w:vertAlign w:val="superscript"/>
    </w:rPr>
  </w:style>
  <w:style w:type="paragraph" w:styleId="BalloonText">
    <w:name w:val="Balloon Text"/>
    <w:basedOn w:val="Normal"/>
    <w:link w:val="BalloonTextChar"/>
    <w:uiPriority w:val="99"/>
    <w:semiHidden/>
    <w:unhideWhenUsed/>
    <w:rsid w:val="00F65C2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65C25"/>
    <w:rPr>
      <w:rFonts w:ascii="Tahoma" w:hAnsi="Tahoma"/>
      <w:sz w:val="16"/>
      <w:szCs w:val="16"/>
    </w:rPr>
  </w:style>
  <w:style w:type="paragraph" w:styleId="NoSpacing">
    <w:name w:val="No Spacing"/>
    <w:uiPriority w:val="1"/>
    <w:qFormat/>
    <w:rsid w:val="001F7236"/>
    <w:pPr>
      <w:spacing w:after="0" w:line="240" w:lineRule="auto"/>
    </w:pPr>
  </w:style>
  <w:style w:type="paragraph" w:styleId="ListParagraph">
    <w:name w:val="List Paragraph"/>
    <w:basedOn w:val="Normal"/>
    <w:uiPriority w:val="34"/>
    <w:qFormat/>
    <w:rsid w:val="0070532E"/>
    <w:pPr>
      <w:ind w:left="720"/>
      <w:contextualSpacing/>
    </w:pPr>
  </w:style>
  <w:style w:type="paragraph" w:styleId="Header">
    <w:name w:val="header"/>
    <w:basedOn w:val="Normal"/>
    <w:link w:val="HeaderChar"/>
    <w:uiPriority w:val="99"/>
    <w:unhideWhenUsed/>
    <w:rsid w:val="00D2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A4"/>
  </w:style>
  <w:style w:type="paragraph" w:styleId="Footer">
    <w:name w:val="footer"/>
    <w:basedOn w:val="Normal"/>
    <w:link w:val="FooterChar"/>
    <w:uiPriority w:val="99"/>
    <w:unhideWhenUsed/>
    <w:rsid w:val="00D2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A4"/>
  </w:style>
  <w:style w:type="paragraph" w:styleId="Caption">
    <w:name w:val="caption"/>
    <w:basedOn w:val="Normal"/>
    <w:next w:val="Normal"/>
    <w:uiPriority w:val="35"/>
    <w:unhideWhenUsed/>
    <w:qFormat/>
    <w:rsid w:val="00057EC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96A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2C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B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B6A"/>
    <w:rPr>
      <w:color w:val="0000FF" w:themeColor="hyperlink"/>
      <w:u w:val="single"/>
    </w:rPr>
  </w:style>
  <w:style w:type="character" w:styleId="FollowedHyperlink">
    <w:name w:val="FollowedHyperlink"/>
    <w:basedOn w:val="DefaultParagraphFont"/>
    <w:uiPriority w:val="99"/>
    <w:semiHidden/>
    <w:unhideWhenUsed/>
    <w:rsid w:val="00974B6A"/>
    <w:rPr>
      <w:color w:val="800080" w:themeColor="followedHyperlink"/>
      <w:u w:val="single"/>
    </w:rPr>
  </w:style>
  <w:style w:type="character" w:styleId="CommentReference">
    <w:name w:val="annotation reference"/>
    <w:basedOn w:val="DefaultParagraphFont"/>
    <w:uiPriority w:val="99"/>
    <w:semiHidden/>
    <w:unhideWhenUsed/>
    <w:rsid w:val="00DA7D8E"/>
    <w:rPr>
      <w:sz w:val="16"/>
      <w:szCs w:val="16"/>
    </w:rPr>
  </w:style>
  <w:style w:type="paragraph" w:styleId="CommentText">
    <w:name w:val="annotation text"/>
    <w:basedOn w:val="Normal"/>
    <w:link w:val="CommentTextChar"/>
    <w:uiPriority w:val="99"/>
    <w:semiHidden/>
    <w:unhideWhenUsed/>
    <w:rsid w:val="00DA7D8E"/>
    <w:pPr>
      <w:spacing w:line="240" w:lineRule="auto"/>
    </w:pPr>
    <w:rPr>
      <w:sz w:val="20"/>
      <w:szCs w:val="20"/>
    </w:rPr>
  </w:style>
  <w:style w:type="character" w:customStyle="1" w:styleId="CommentTextChar">
    <w:name w:val="Comment Text Char"/>
    <w:basedOn w:val="DefaultParagraphFont"/>
    <w:link w:val="CommentText"/>
    <w:uiPriority w:val="99"/>
    <w:semiHidden/>
    <w:rsid w:val="00DA7D8E"/>
    <w:rPr>
      <w:sz w:val="20"/>
      <w:szCs w:val="20"/>
    </w:rPr>
  </w:style>
  <w:style w:type="paragraph" w:styleId="CommentSubject">
    <w:name w:val="annotation subject"/>
    <w:basedOn w:val="CommentText"/>
    <w:next w:val="CommentText"/>
    <w:link w:val="CommentSubjectChar"/>
    <w:uiPriority w:val="99"/>
    <w:semiHidden/>
    <w:unhideWhenUsed/>
    <w:rsid w:val="00DA7D8E"/>
    <w:rPr>
      <w:b/>
      <w:bCs/>
    </w:rPr>
  </w:style>
  <w:style w:type="character" w:customStyle="1" w:styleId="CommentSubjectChar">
    <w:name w:val="Comment Subject Char"/>
    <w:basedOn w:val="CommentTextChar"/>
    <w:link w:val="CommentSubject"/>
    <w:uiPriority w:val="99"/>
    <w:semiHidden/>
    <w:rsid w:val="00DA7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factfinder.census.gov/faces/nav/jsf/pages/index.xhtml" TargetMode="External"/><Relationship Id="rId1" Type="http://schemas.openxmlformats.org/officeDocument/2006/relationships/hyperlink" Target="http://www.cdc.gov/brfss/brfssprevalence/index.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ah2k8clufs01\S_Drive\EPI\Data%20Requests\DR2647%20Hypertension%20Prevention%20Report%20for%20Chronic%20Disease\DR2647%20BRFSS%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ah2k8clufs01\S_Drive\EPI\Data%20Requests\DR2647%20Hypertension%20Prevention%20Report%20for%20Chronic%20Disease\DR2647%20Hypertension%20Prevention%20Report%20CHA%202012%20Factor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500"/>
              <a:t>Prevalence of Hypertension among Adults in Marion County, BRFSS 2003-2009,</a:t>
            </a:r>
            <a:r>
              <a:rPr lang="en-US" sz="1500" baseline="0"/>
              <a:t> 2011-</a:t>
            </a:r>
            <a:r>
              <a:rPr lang="en-US" sz="1500"/>
              <a:t>2013</a:t>
            </a:r>
          </a:p>
        </c:rich>
      </c:tx>
      <c:layout/>
      <c:overlay val="0"/>
    </c:title>
    <c:autoTitleDeleted val="0"/>
    <c:plotArea>
      <c:layout/>
      <c:lineChart>
        <c:grouping val="standard"/>
        <c:varyColors val="0"/>
        <c:ser>
          <c:idx val="0"/>
          <c:order val="0"/>
          <c:tx>
            <c:strRef>
              <c:f>Sheet1!$B$1</c:f>
              <c:strCache>
                <c:ptCount val="1"/>
                <c:pt idx="0">
                  <c:v>Hypertension Prevalence</c:v>
                </c:pt>
              </c:strCache>
            </c:strRef>
          </c:tx>
          <c:errBars>
            <c:errDir val="y"/>
            <c:errBarType val="both"/>
            <c:errValType val="cust"/>
            <c:noEndCap val="0"/>
            <c:plus>
              <c:numRef>
                <c:f>Sheet1!$F$2:$F$8</c:f>
                <c:numCache>
                  <c:formatCode>General</c:formatCode>
                  <c:ptCount val="7"/>
                  <c:pt idx="0">
                    <c:v>3.4999999999999976E-2</c:v>
                  </c:pt>
                  <c:pt idx="1">
                    <c:v>3.3000000000000029E-2</c:v>
                  </c:pt>
                  <c:pt idx="2">
                    <c:v>3.5000000000000031E-2</c:v>
                  </c:pt>
                  <c:pt idx="3">
                    <c:v>3.4999999999999976E-2</c:v>
                  </c:pt>
                  <c:pt idx="4">
                    <c:v>0</c:v>
                  </c:pt>
                  <c:pt idx="5">
                    <c:v>3.3999999999999975E-2</c:v>
                  </c:pt>
                  <c:pt idx="6">
                    <c:v>3.1999999999999973E-2</c:v>
                  </c:pt>
                </c:numCache>
              </c:numRef>
            </c:plus>
            <c:minus>
              <c:numRef>
                <c:f>Sheet1!$E$2:$E$8</c:f>
                <c:numCache>
                  <c:formatCode>General</c:formatCode>
                  <c:ptCount val="7"/>
                  <c:pt idx="0">
                    <c:v>3.6000000000000032E-2</c:v>
                  </c:pt>
                  <c:pt idx="1">
                    <c:v>3.3000000000000002E-2</c:v>
                  </c:pt>
                  <c:pt idx="2">
                    <c:v>3.4999999999999976E-2</c:v>
                  </c:pt>
                  <c:pt idx="3">
                    <c:v>3.5000000000000031E-2</c:v>
                  </c:pt>
                  <c:pt idx="5">
                    <c:v>3.400000000000003E-2</c:v>
                  </c:pt>
                  <c:pt idx="6">
                    <c:v>3.2000000000000028E-2</c:v>
                  </c:pt>
                </c:numCache>
              </c:numRef>
            </c:minus>
          </c:errBars>
          <c:cat>
            <c:numRef>
              <c:f>Sheet1!$A$2:$A$8</c:f>
              <c:numCache>
                <c:formatCode>General</c:formatCode>
                <c:ptCount val="7"/>
                <c:pt idx="0">
                  <c:v>2003</c:v>
                </c:pt>
                <c:pt idx="1">
                  <c:v>2005</c:v>
                </c:pt>
                <c:pt idx="2">
                  <c:v>2007</c:v>
                </c:pt>
                <c:pt idx="3">
                  <c:v>2009</c:v>
                </c:pt>
                <c:pt idx="5">
                  <c:v>2011</c:v>
                </c:pt>
                <c:pt idx="6">
                  <c:v>2013</c:v>
                </c:pt>
              </c:numCache>
            </c:numRef>
          </c:cat>
          <c:val>
            <c:numRef>
              <c:f>Sheet1!$B$2:$B$8</c:f>
              <c:numCache>
                <c:formatCode>General</c:formatCode>
                <c:ptCount val="7"/>
                <c:pt idx="0">
                  <c:v>0.27700000000000002</c:v>
                </c:pt>
                <c:pt idx="1">
                  <c:v>0.245</c:v>
                </c:pt>
                <c:pt idx="2">
                  <c:v>0.30599999999999999</c:v>
                </c:pt>
                <c:pt idx="3">
                  <c:v>0.32200000000000001</c:v>
                </c:pt>
                <c:pt idx="5">
                  <c:v>0.33500000000000002</c:v>
                </c:pt>
                <c:pt idx="6">
                  <c:v>0.32</c:v>
                </c:pt>
              </c:numCache>
            </c:numRef>
          </c:val>
          <c:smooth val="0"/>
        </c:ser>
        <c:dLbls>
          <c:showLegendKey val="0"/>
          <c:showVal val="0"/>
          <c:showCatName val="0"/>
          <c:showSerName val="0"/>
          <c:showPercent val="0"/>
          <c:showBubbleSize val="0"/>
        </c:dLbls>
        <c:marker val="1"/>
        <c:smooth val="0"/>
        <c:axId val="152532864"/>
        <c:axId val="152534400"/>
      </c:lineChart>
      <c:catAx>
        <c:axId val="152532864"/>
        <c:scaling>
          <c:orientation val="minMax"/>
        </c:scaling>
        <c:delete val="0"/>
        <c:axPos val="b"/>
        <c:numFmt formatCode="General" sourceLinked="0"/>
        <c:majorTickMark val="out"/>
        <c:minorTickMark val="none"/>
        <c:tickLblPos val="nextTo"/>
        <c:crossAx val="152534400"/>
        <c:crosses val="autoZero"/>
        <c:auto val="1"/>
        <c:lblAlgn val="ctr"/>
        <c:lblOffset val="100"/>
        <c:noMultiLvlLbl val="0"/>
      </c:catAx>
      <c:valAx>
        <c:axId val="152534400"/>
        <c:scaling>
          <c:orientation val="minMax"/>
        </c:scaling>
        <c:delete val="0"/>
        <c:axPos val="l"/>
        <c:majorGridlines/>
        <c:numFmt formatCode="0.0%" sourceLinked="0"/>
        <c:majorTickMark val="out"/>
        <c:minorTickMark val="none"/>
        <c:tickLblPos val="nextTo"/>
        <c:crossAx val="15253286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sz="1500"/>
              <a:t>Ever Diagnosed with High Blood Pressure</a:t>
            </a:r>
          </a:p>
        </c:rich>
      </c:tx>
      <c:layout/>
      <c:overlay val="0"/>
    </c:title>
    <c:autoTitleDeleted val="0"/>
    <c:plotArea>
      <c:layout/>
      <c:barChart>
        <c:barDir val="col"/>
        <c:grouping val="clustered"/>
        <c:varyColors val="0"/>
        <c:ser>
          <c:idx val="0"/>
          <c:order val="0"/>
          <c:tx>
            <c:strRef>
              <c:f>MC_HypertensionbyRace!$B$1</c:f>
              <c:strCache>
                <c:ptCount val="1"/>
                <c:pt idx="0">
                  <c:v>% Population with High Blood Pressure</c:v>
                </c:pt>
              </c:strCache>
            </c:strRef>
          </c:tx>
          <c:invertIfNegative val="0"/>
          <c:errBars>
            <c:errBarType val="both"/>
            <c:errValType val="cust"/>
            <c:noEndCap val="0"/>
            <c:plus>
              <c:numRef>
                <c:f>MC_HypertensionbyRace!$F$2:$F$4</c:f>
                <c:numCache>
                  <c:formatCode>General</c:formatCode>
                  <c:ptCount val="3"/>
                  <c:pt idx="0">
                    <c:v>2.4000000000000021E-2</c:v>
                  </c:pt>
                  <c:pt idx="1">
                    <c:v>4.1999999999999982E-2</c:v>
                  </c:pt>
                  <c:pt idx="2">
                    <c:v>5.1999999999999991E-2</c:v>
                  </c:pt>
                </c:numCache>
              </c:numRef>
            </c:plus>
            <c:minus>
              <c:numRef>
                <c:f>MC_HypertensionbyRace!$E$2:$E$4</c:f>
                <c:numCache>
                  <c:formatCode>General</c:formatCode>
                  <c:ptCount val="3"/>
                  <c:pt idx="0">
                    <c:v>2.4000000000000021E-2</c:v>
                  </c:pt>
                  <c:pt idx="1">
                    <c:v>4.1999999999999982E-2</c:v>
                  </c:pt>
                  <c:pt idx="2">
                    <c:v>5.2000000000000005E-2</c:v>
                  </c:pt>
                </c:numCache>
              </c:numRef>
            </c:minus>
          </c:errBars>
          <c:cat>
            <c:strRef>
              <c:f>MC_HypertensionbyRace!$A$2:$A$4</c:f>
              <c:strCache>
                <c:ptCount val="3"/>
                <c:pt idx="0">
                  <c:v>White</c:v>
                </c:pt>
                <c:pt idx="1">
                  <c:v>African American</c:v>
                </c:pt>
                <c:pt idx="2">
                  <c:v>Hispanic</c:v>
                </c:pt>
              </c:strCache>
            </c:strRef>
          </c:cat>
          <c:val>
            <c:numRef>
              <c:f>MC_HypertensionbyRace!$B$2:$B$4</c:f>
              <c:numCache>
                <c:formatCode>General</c:formatCode>
                <c:ptCount val="3"/>
                <c:pt idx="0">
                  <c:v>0.312</c:v>
                </c:pt>
                <c:pt idx="1">
                  <c:v>0.38500000000000001</c:v>
                </c:pt>
                <c:pt idx="2">
                  <c:v>0.16</c:v>
                </c:pt>
              </c:numCache>
            </c:numRef>
          </c:val>
        </c:ser>
        <c:dLbls>
          <c:showLegendKey val="0"/>
          <c:showVal val="0"/>
          <c:showCatName val="0"/>
          <c:showSerName val="0"/>
          <c:showPercent val="0"/>
          <c:showBubbleSize val="0"/>
        </c:dLbls>
        <c:gapWidth val="150"/>
        <c:axId val="152465792"/>
        <c:axId val="152467328"/>
      </c:barChart>
      <c:catAx>
        <c:axId val="152465792"/>
        <c:scaling>
          <c:orientation val="minMax"/>
        </c:scaling>
        <c:delete val="0"/>
        <c:axPos val="b"/>
        <c:majorTickMark val="none"/>
        <c:minorTickMark val="none"/>
        <c:tickLblPos val="nextTo"/>
        <c:crossAx val="152467328"/>
        <c:crosses val="autoZero"/>
        <c:auto val="1"/>
        <c:lblAlgn val="ctr"/>
        <c:lblOffset val="100"/>
        <c:noMultiLvlLbl val="0"/>
      </c:catAx>
      <c:valAx>
        <c:axId val="152467328"/>
        <c:scaling>
          <c:orientation val="minMax"/>
        </c:scaling>
        <c:delete val="0"/>
        <c:axPos val="l"/>
        <c:majorGridlines/>
        <c:numFmt formatCode="0.0%" sourceLinked="0"/>
        <c:majorTickMark val="none"/>
        <c:minorTickMark val="none"/>
        <c:tickLblPos val="nextTo"/>
        <c:crossAx val="15246579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6FCE3-2C7D-4B27-BFC7-CC67F39C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and Hosptial Corporation</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Millicent Fleming-Moran</dc:creator>
  <cp:lastModifiedBy>David Broyles</cp:lastModifiedBy>
  <cp:revision>2</cp:revision>
  <cp:lastPrinted>2015-11-13T18:36:00Z</cp:lastPrinted>
  <dcterms:created xsi:type="dcterms:W3CDTF">2016-05-27T17:41:00Z</dcterms:created>
  <dcterms:modified xsi:type="dcterms:W3CDTF">2016-05-27T17:41:00Z</dcterms:modified>
</cp:coreProperties>
</file>